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400"/>
        <w:jc w:val="center"/>
      </w:pPr>
      <w:r>
        <w:rPr>
          <w:b/>
          <w:bCs/>
          <w:color w:val="1F3864"/>
          <w:sz w:val="32"/>
          <w:szCs w:val="32"/>
        </w:rPr>
        <w:t xml:space="preserve">OMS</w:t>
      </w:r>
    </w:p>
    <w:p>
      <w:pPr>
        <w:spacing w:after="200" w:before="200"/>
        <w:jc w:val="center"/>
      </w:pPr>
      <w:r>
        <w:rPr>
          <w:b/>
          <w:bCs/>
          <w:color w:val="1F3864"/>
          <w:sz w:val="40"/>
          <w:szCs w:val="40"/>
        </w:rPr>
        <w:t xml:space="preserve">Risk Governance Implementation Runbook</w:t>
      </w:r>
    </w:p>
    <w:p>
      <w:pPr>
        <w:spacing w:after="100"/>
        <w:jc w:val="center"/>
      </w:pPr>
      <w:r>
        <w:rPr>
          <w:i/>
          <w:iCs/>
          <w:color w:val="595959"/>
          <w:sz w:val="22"/>
          <w:szCs w:val="22"/>
        </w:rPr>
        <w:t xml:space="preserve">Remaining steps requiring Coolify, network, or Microsoft 365 / SharePoint access</w:t>
      </w:r>
    </w:p>
    <w:p>
      <w:pPr>
        <w:spacing w:after="600"/>
        <w:jc w:val="center"/>
      </w:pPr>
      <w:r>
        <w:rPr>
          <w:color w:val="595959"/>
          <w:sz w:val="20"/>
          <w:szCs w:val="20"/>
        </w:rPr>
        <w:t xml:space="preserve">To be attached to Redmine #179, #186 and #188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50"/>
      </w:tblGrid>
      <w:tr>
        <w:tc>
          <w:tcPr>
            <w:tcW w:type="dxa" w:w="3000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Field</w:t>
            </w:r>
          </w:p>
        </w:tc>
        <w:tc>
          <w:tcPr>
            <w:tcW w:type="dxa" w:w="6350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Detail</w:t>
            </w:r>
          </w:p>
        </w:tc>
      </w:tr>
      <w:tr>
        <w:tc>
          <w:tcPr>
            <w:tcW w:type="dxa" w:w="3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Related tickets</w:t>
            </w:r>
          </w:p>
        </w:tc>
        <w:tc>
          <w:tcPr>
            <w:tcW w:type="dxa" w:w="63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#179 (main governance), #186 (periodic assessment gap), #188 (monitoring &amp; measurement gap)</w:t>
            </w:r>
          </w:p>
        </w:tc>
      </w:tr>
      <w:tr>
        <w:tc>
          <w:tcPr>
            <w:tcW w:type="dxa" w:w="3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Companion documents</w:t>
            </w:r>
          </w:p>
        </w:tc>
        <w:tc>
          <w:tcPr>
            <w:tcW w:type="dxa" w:w="63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OMS_IT_InfoSec_Risk_Policy_and_Procedure.docx; OMS_Master_IT_Security_Risk_Register.xlsx; OMS_Risk_Governance_Action_Plan.xlsx; OMS_Risk_Review_Reporting_Workflow_Templates.docx; OMS_188_Monitoring_Catalogue.xlsx</w:t>
            </w:r>
          </w:p>
        </w:tc>
      </w:tr>
      <w:tr>
        <w:tc>
          <w:tcPr>
            <w:tcW w:type="dxa" w:w="3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Status</w:t>
            </w:r>
          </w:p>
        </w:tc>
        <w:tc>
          <w:tcPr>
            <w:tcW w:type="dxa" w:w="63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Documentation-only deliverables complete. This runbook covers everything still open — all of it requires system login.</w:t>
            </w:r>
          </w:p>
        </w:tc>
      </w:tr>
      <w:tr>
        <w:tc>
          <w:tcPr>
            <w:tcW w:type="dxa" w:w="3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Purpose of this document</w:t>
            </w:r>
          </w:p>
        </w:tc>
        <w:tc>
          <w:tcPr>
            <w:tcW w:type="dxa" w:w="63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A step-by-step checklist so the remaining work can be executed and evidenced, and the tickets closed, in one session.</w:t>
            </w:r>
          </w:p>
        </w:tc>
      </w:tr>
    </w:tbl>
    <w:p>
      <w:r>
        <w:br w:type="page"/>
      </w:r>
    </w:p>
    <w:p>
      <w:pPr>
        <w:pStyle w:val="Heading1"/>
        <w:spacing w:after="160" w:before="320"/>
      </w:pPr>
      <w:r>
        <w:t xml:space="preserve">Before You Start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Have open for reference: the Policy &amp; Procedure, the Master Risk Register, the Action Plan, and the Monitoring Catalogue.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Confirm the controlled SharePoint site/library (Action Plan task T-004) is live — evidence links below all point there.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Log into Coolify, the cloud/network console, and Microsoft 365 admin before starting so no step is blocked mid-way.</w:t>
      </w:r>
    </w:p>
    <w:p>
      <w:pPr>
        <w:pStyle w:val="Heading1"/>
        <w:spacing w:after="160" w:before="320"/>
      </w:pPr>
      <w:r>
        <w:t xml:space="preserve">Step 1 — Asset and Ownership Linkage (Action Plan T-006)</w:t>
      </w:r>
    </w:p>
    <w:p>
      <w:pPr>
        <w:spacing w:after="140"/>
      </w:pPr>
      <w:r>
        <w:t xml:space="preserve">Ticket: #179   |   Depends on: #438 asset register</w:t>
      </w:r>
    </w:p>
    <w:p>
      <w:pPr>
        <w:spacing w:after="100"/>
      </w:pPr>
      <w:r>
        <w:t xml:space="preserve">1. Log into Coolify / cloud console and pull the current asset inventory (servers, databases, services, domains, storage).</w:t>
      </w:r>
    </w:p>
    <w:p>
      <w:pPr>
        <w:spacing w:after="100"/>
      </w:pPr>
      <w:r>
        <w:t xml:space="preserve">2. Reconcile the inventory against the #438 asset register. Record any assets or owners missing from #438.</w:t>
      </w:r>
    </w:p>
    <w:p>
      <w:pPr>
        <w:spacing w:after="100"/>
      </w:pPr>
      <w:r>
        <w:t xml:space="preserve">3. For each asset, add or update a row in the Master Risk Register's 'Project / Process / System / Asset / Supplier' column as risks are identified against it in Step 2.</w:t>
      </w:r>
    </w:p>
    <w:p>
      <w:pPr>
        <w:spacing w:after="140"/>
      </w:pPr>
      <w:r>
        <w:rPr>
          <w:i/>
          <w:iCs/>
        </w:rPr>
        <w:t xml:space="preserve">Evidence to capture: exported asset list, reconciliation notes, date and person who performed the reconciliation.</w:t>
      </w:r>
    </w:p>
    <w:p>
      <w:pPr>
        <w:pStyle w:val="Heading1"/>
        <w:spacing w:after="160" w:before="320"/>
      </w:pPr>
      <w:r>
        <w:t xml:space="preserve">Step 2 — Baseline Infrastructure Risk Assessment (Action Plan T-007–T-013, T-018, T-019)</w:t>
      </w:r>
    </w:p>
    <w:p>
      <w:pPr>
        <w:spacing w:after="140"/>
      </w:pPr>
      <w:r>
        <w:t xml:space="preserve">Ticket: #179   |   This is the largest remaining piece — the initial baseline assessment required by the policy (Section 8).</w:t>
      </w:r>
    </w:p>
    <w:p>
      <w:pPr>
        <w:spacing w:after="140"/>
      </w:pPr>
      <w:r>
        <w:t xml:space="preserve">Work through each area below. For every finding, add one row to the Master Risk Register with: a cause–event–impact risk statement, the threat/vulnerability/control weakness, existing controls and their owner, Likelihood and Impact scores (the register calculates the rest), a treatment decision, an action owner, and a target date.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200"/>
        <w:gridCol w:w="4300"/>
        <w:gridCol w:w="2350"/>
      </w:tblGrid>
      <w:tr>
        <w:tc>
          <w:tcPr>
            <w:tcW w:type="dxa" w:w="500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2200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Area</w:t>
            </w:r>
          </w:p>
        </w:tc>
        <w:tc>
          <w:tcPr>
            <w:tcW w:type="dxa" w:w="4300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What to check</w:t>
            </w:r>
          </w:p>
        </w:tc>
        <w:tc>
          <w:tcPr>
            <w:tcW w:type="dxa" w:w="2350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Suggested owner</w:t>
            </w:r>
          </w:p>
        </w:tc>
      </w:tr>
      <w:tr>
        <w:tc>
          <w:tcPr>
            <w:tcW w:type="dxa" w:w="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Identity &amp; access</w:t>
            </w:r>
          </w:p>
        </w:tc>
        <w:tc>
          <w:tcPr>
            <w:tcW w:type="dxa" w:w="43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MFA enforcement, privileged accounts, service accounts, stale/orphaned accounts</w:t>
            </w:r>
          </w:p>
        </w:tc>
        <w:tc>
          <w:tcPr>
            <w:tcW w:type="dxa" w:w="23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IT Infrastructure Lead</w:t>
            </w:r>
          </w:p>
        </w:tc>
      </w:tr>
      <w:tr>
        <w:tc>
          <w:tcPr>
            <w:tcW w:type="dxa" w:w="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Source code &amp; CI/CD</w:t>
            </w:r>
          </w:p>
        </w:tc>
        <w:tc>
          <w:tcPr>
            <w:tcW w:type="dxa" w:w="43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Repo access controls, pipeline secrets, build/deploy permissions, supply-chain dependencies</w:t>
            </w:r>
          </w:p>
        </w:tc>
        <w:tc>
          <w:tcPr>
            <w:tcW w:type="dxa" w:w="23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Engineering Lead</w:t>
            </w:r>
          </w:p>
        </w:tc>
      </w:tr>
      <w:tr>
        <w:tc>
          <w:tcPr>
            <w:tcW w:type="dxa" w:w="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Environment separation</w:t>
            </w:r>
          </w:p>
        </w:tc>
        <w:tc>
          <w:tcPr>
            <w:tcW w:type="dxa" w:w="43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Dev/test/demo/production isolation, shared credentials across environments</w:t>
            </w:r>
          </w:p>
        </w:tc>
        <w:tc>
          <w:tcPr>
            <w:tcW w:type="dxa" w:w="23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Engineering Lead</w:t>
            </w:r>
          </w:p>
        </w:tc>
      </w:tr>
      <w:tr>
        <w:tc>
          <w:tcPr>
            <w:tcW w:type="dxa" w:w="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Secrets &amp; API keys</w:t>
            </w:r>
          </w:p>
        </w:tc>
        <w:tc>
          <w:tcPr>
            <w:tcW w:type="dxa" w:w="43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Ownership, rotation, storage location (never in code/Redmine)</w:t>
            </w:r>
          </w:p>
        </w:tc>
        <w:tc>
          <w:tcPr>
            <w:tcW w:type="dxa" w:w="23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Engineering Lead</w:t>
            </w:r>
          </w:p>
        </w:tc>
      </w:tr>
      <w:tr>
        <w:tc>
          <w:tcPr>
            <w:tcW w:type="dxa" w:w="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Backups &amp; DR</w:t>
            </w:r>
          </w:p>
        </w:tc>
        <w:tc>
          <w:tcPr>
            <w:tcW w:type="dxa" w:w="43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Backup coverage, restore testing, RPO/RTO, business continuity plan currency</w:t>
            </w:r>
          </w:p>
        </w:tc>
        <w:tc>
          <w:tcPr>
            <w:tcW w:type="dxa" w:w="23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IT Infrastructure Lead</w:t>
            </w:r>
          </w:p>
        </w:tc>
      </w:tr>
      <w:tr>
        <w:tc>
          <w:tcPr>
            <w:tcW w:type="dxa" w:w="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M365 / SharePoint / DNS</w:t>
            </w:r>
          </w:p>
        </w:tc>
        <w:tc>
          <w:tcPr>
            <w:tcW w:type="dxa" w:w="43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Admin role assignment, external sharing settings, domain/DNS record integrity</w:t>
            </w:r>
          </w:p>
        </w:tc>
        <w:tc>
          <w:tcPr>
            <w:tcW w:type="dxa" w:w="23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IT Infrastructure Lead</w:t>
            </w:r>
          </w:p>
        </w:tc>
      </w:tr>
      <w:tr>
        <w:tc>
          <w:tcPr>
            <w:tcW w:type="dxa" w:w="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7</w:t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Cloud / Coolify / DB / storage</w:t>
            </w:r>
          </w:p>
        </w:tc>
        <w:tc>
          <w:tcPr>
            <w:tcW w:type="dxa" w:w="43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Access control, encryption at rest, public exposure of storage/buckets</w:t>
            </w:r>
          </w:p>
        </w:tc>
        <w:tc>
          <w:tcPr>
            <w:tcW w:type="dxa" w:w="23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IT Infrastructure Lead</w:t>
            </w:r>
          </w:p>
        </w:tc>
      </w:tr>
      <w:tr>
        <w:tc>
          <w:tcPr>
            <w:tcW w:type="dxa" w:w="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8</w:t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OBSE / CVEvolve / OMS apps</w:t>
            </w:r>
          </w:p>
        </w:tc>
        <w:tc>
          <w:tcPr>
            <w:tcW w:type="dxa" w:w="43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Application-level access control, API authentication, exposed endpoints</w:t>
            </w:r>
          </w:p>
        </w:tc>
        <w:tc>
          <w:tcPr>
            <w:tcW w:type="dxa" w:w="23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Engineering Lead</w:t>
            </w:r>
          </w:p>
        </w:tc>
      </w:tr>
      <w:tr>
        <w:tc>
          <w:tcPr>
            <w:tcW w:type="dxa" w:w="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9</w:t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Devices &amp; physical</w:t>
            </w:r>
          </w:p>
        </w:tc>
        <w:tc>
          <w:tcPr>
            <w:tcW w:type="dxa" w:w="43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Laptop encryption/MDM coverage, remote-access controls, physical site security</w:t>
            </w:r>
          </w:p>
        </w:tc>
        <w:tc>
          <w:tcPr>
            <w:tcW w:type="dxa" w:w="23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IT Infrastructure Lead</w:t>
            </w:r>
          </w:p>
        </w:tc>
      </w:tr>
      <w:tr>
        <w:tc>
          <w:tcPr>
            <w:tcW w:type="dxa" w:w="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10</w:t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Network exposure</w:t>
            </w:r>
          </w:p>
        </w:tc>
        <w:tc>
          <w:tcPr>
            <w:tcW w:type="dxa" w:w="43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Internet-facing services, open ports, outstanding pen-test remediation items</w:t>
            </w:r>
          </w:p>
        </w:tc>
        <w:tc>
          <w:tcPr>
            <w:tcW w:type="dxa" w:w="23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IT Infrastructure Lead</w:t>
            </w:r>
          </w:p>
        </w:tc>
      </w:tr>
    </w:tbl>
    <w:p>
      <w:pPr>
        <w:spacing w:after="160"/>
      </w:pPr>
    </w:p>
    <w:p>
      <w:pPr>
        <w:spacing w:after="140"/>
      </w:pPr>
      <w:r>
        <w:rPr>
          <w:i/>
          <w:iCs/>
        </w:rPr>
        <w:t xml:space="preserve">Evidence to capture per area: screenshots/exports of relevant settings, the resulting register row IDs, and the reviewer's name and date.</w:t>
      </w:r>
    </w:p>
    <w:p>
      <w:pPr>
        <w:pStyle w:val="Heading1"/>
        <w:spacing w:after="160" w:before="320"/>
      </w:pPr>
      <w:r>
        <w:t xml:space="preserve">Step 3 — Onboard Log Sources (Action Plan T-034)</w:t>
      </w:r>
    </w:p>
    <w:p>
      <w:pPr>
        <w:spacing w:after="140"/>
      </w:pPr>
      <w:r>
        <w:t xml:space="preserve">Ticket: #188</w:t>
      </w:r>
    </w:p>
    <w:p>
      <w:pPr>
        <w:spacing w:after="100"/>
      </w:pPr>
      <w:r>
        <w:t xml:space="preserve">1. Open the Monitoring Catalogue workbook, 'Log Handling Standard' tab.</w:t>
      </w:r>
    </w:p>
    <w:p>
      <w:pPr>
        <w:spacing w:after="100"/>
      </w:pPr>
      <w:r>
        <w:t xml:space="preserve">2. For each of the 9 log sources (firewall, reverse proxy, DNS, authentication, OS, application, database, mail, cloud platform), connect it to central log collection, applying the retention, access-control, integrity-protection and time-sync settings already proposed in that tab.</w:t>
      </w:r>
    </w:p>
    <w:p>
      <w:pPr>
        <w:spacing w:after="100"/>
      </w:pPr>
      <w:r>
        <w:t xml:space="preserve">3. Adjust any proposed setting that doesn't match what's actually achievable on the platform, and note the change.</w:t>
      </w:r>
    </w:p>
    <w:p>
      <w:pPr>
        <w:spacing w:after="100"/>
      </w:pPr>
      <w:r>
        <w:t xml:space="preserve">4. Update each row's Status from 'Draft - Pending Confirmation' to 'Implemented' once the source is live and verified.</w:t>
      </w:r>
    </w:p>
    <w:p>
      <w:pPr>
        <w:spacing w:after="140"/>
      </w:pPr>
      <w:r>
        <w:rPr>
          <w:i/>
          <w:iCs/>
        </w:rPr>
        <w:t xml:space="preserve">Evidence to capture: confirmation each source is flowing into central logging, retention setting screenshots, sign-off date.</w:t>
      </w:r>
    </w:p>
    <w:p>
      <w:pPr>
        <w:pStyle w:val="Heading1"/>
        <w:spacing w:after="160" w:before="320"/>
      </w:pPr>
      <w:r>
        <w:t xml:space="preserve">Step 4 — Build and Test Alerts (Action Plan T-035)</w:t>
      </w:r>
    </w:p>
    <w:p>
      <w:pPr>
        <w:spacing w:after="140"/>
      </w:pPr>
      <w:r>
        <w:t xml:space="preserve">Ticket: #188</w:t>
      </w:r>
    </w:p>
    <w:p>
      <w:pPr>
        <w:spacing w:after="100"/>
      </w:pPr>
      <w:r>
        <w:t xml:space="preserve">1. Open the Monitoring Catalogue workbook, 'Alert &amp; Playbook Register' tab.</w:t>
      </w:r>
    </w:p>
    <w:p>
      <w:pPr>
        <w:spacing w:after="100"/>
      </w:pPr>
      <w:r>
        <w:t xml:space="preserve">2. Configure each of the 7 alert scenarios (exposed service, suspected injection, cache poisoning, malicious upload, abnormal DNS/egress, credential misuse, backup/restore abuse) against real thresholds.</w:t>
      </w:r>
    </w:p>
    <w:p>
      <w:pPr>
        <w:spacing w:after="100"/>
      </w:pPr>
      <w:r>
        <w:t xml:space="preserve">3. Run an authorised simulation for each alert and confirm it fires and escalates as designed.</w:t>
      </w:r>
    </w:p>
    <w:p>
      <w:pPr>
        <w:spacing w:after="100"/>
      </w:pPr>
      <w:r>
        <w:t xml:space="preserve">4. Update Test Status to 'Tested - Pass', or 'Tested - Fail' plus a remediation note if it doesn't behave as expected.</w:t>
      </w:r>
    </w:p>
    <w:p>
      <w:pPr>
        <w:spacing w:after="140"/>
      </w:pPr>
      <w:r>
        <w:rPr>
          <w:i/>
          <w:iCs/>
        </w:rPr>
        <w:t xml:space="preserve">Evidence to capture: simulation logs, screenshots of the alert firing, escalation notification received, incident ticket created.</w:t>
      </w:r>
    </w:p>
    <w:p>
      <w:pPr>
        <w:pStyle w:val="Heading1"/>
        <w:spacing w:after="160" w:before="320"/>
      </w:pPr>
      <w:r>
        <w:t xml:space="preserve">Step 5 — Build the Risk Treatment Plan (Action Plan T-020)</w:t>
      </w:r>
    </w:p>
    <w:p>
      <w:pPr>
        <w:spacing w:after="140"/>
      </w:pPr>
      <w:r>
        <w:t xml:space="preserve">Ticket: #179   |   Depends on: Steps 1–2 above producing enough register rows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Filter the Master Risk Register for all open risks.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Extract Risk ID, Owner, Treatment, Action Owner and Target Date into a Risk Treatment Plan view (a filtered copy of the register, or a pivot, is sufficient).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Confirm every High and Critical risk has a named owner and a target date — this is a #179 acceptance criterion.</w:t>
      </w:r>
    </w:p>
    <w:p>
      <w:pPr>
        <w:pStyle w:val="Heading1"/>
        <w:spacing w:after="160" w:before="320"/>
      </w:pPr>
      <w:r>
        <w:t xml:space="preserve">Step 6 — Run the First Monthly Review and MANCO Report (Action Plan T-023–T-026)</w:t>
      </w:r>
    </w:p>
    <w:p>
      <w:pPr>
        <w:spacing w:after="140"/>
      </w:pPr>
      <w:r>
        <w:t xml:space="preserve">Ticket: #186 (closes the periodic-assessment gap)   |   Depends on: Steps 1–5</w:t>
      </w:r>
    </w:p>
    <w:p>
      <w:pPr>
        <w:spacing w:after="100"/>
      </w:pPr>
      <w:r>
        <w:t xml:space="preserve">1. Complete the Monthly Risk Review Template (in OMS_Risk_Review_Reporting_Workflow_Templates.docx, Section 1) using the register as it now stands.</w:t>
      </w:r>
    </w:p>
    <w:p>
      <w:pPr>
        <w:spacing w:after="100"/>
      </w:pPr>
      <w:r>
        <w:t xml:space="preserve">2. Populate the MANCO Risk Dashboard/Report Template (Section 2 of the same document) from the review's output.</w:t>
      </w:r>
    </w:p>
    <w:p>
      <w:pPr>
        <w:spacing w:after="100"/>
      </w:pPr>
      <w:r>
        <w:t xml:space="preserve">3. Hold and record the MANCO session — attendees, decisions, approvals (Section 2.7).</w:t>
      </w:r>
    </w:p>
    <w:p>
      <w:pPr>
        <w:spacing w:after="100"/>
      </w:pPr>
      <w:r>
        <w:t xml:space="preserve">4. Save the completed review and report to the controlled SharePoint library.</w:t>
      </w:r>
    </w:p>
    <w:p>
      <w:pPr>
        <w:spacing w:after="140"/>
      </w:pPr>
      <w:r>
        <w:rPr>
          <w:i/>
          <w:iCs/>
        </w:rPr>
        <w:t xml:space="preserve">This step is the direct closing evidence for #186 — 'at least one complete monthly risk review' and 'at least one risk report reviewed by MANCO'.</w:t>
      </w:r>
    </w:p>
    <w:p>
      <w:pPr>
        <w:pStyle w:val="Heading1"/>
        <w:spacing w:after="160" w:before="320"/>
      </w:pPr>
      <w:r>
        <w:t xml:space="preserve">Step 7 — Close the Tickets</w:t>
      </w:r>
    </w:p>
    <w:p>
      <w:pPr>
        <w:spacing w:after="100"/>
      </w:pPr>
      <w:r>
        <w:t xml:space="preserve">1. Add the canonical SharePoint evidence links (asset reconciliation, baseline assessment, log onboarding, alert test evidence, treatment plan, monthly review, MANCO report) to Redmine #179.</w:t>
      </w:r>
    </w:p>
    <w:p>
      <w:pPr>
        <w:spacing w:after="100"/>
      </w:pPr>
      <w:r>
        <w:t xml:space="preserve">2. Update Redmine #186 referencing the completed monthly review as evidence the periodic-assessment gap is resolved, and note the ongoing monthly cadence.</w:t>
      </w:r>
    </w:p>
    <w:p>
      <w:pPr>
        <w:spacing w:after="100"/>
      </w:pPr>
      <w:r>
        <w:t xml:space="preserve">3. Update Redmine #188 referencing the completed monitoring catalogue, log onboarding and alert testing as evidence.</w:t>
      </w:r>
    </w:p>
    <w:p>
      <w:pPr>
        <w:spacing w:after="100"/>
      </w:pPr>
      <w:r>
        <w:t xml:space="preserve">4. Mark the corresponding rows Done in the Action Plan workbook.</w:t>
      </w:r>
    </w:p>
    <w:p>
      <w:pPr>
        <w:spacing w:after="100"/>
      </w:pPr>
      <w:r>
        <w:t xml:space="preserve">5. Schedule the annual policy review and the staff/risk-owner awareness training session (Action Plan T-029) as the one remaining item that runs on its own timeline beyond today.</w:t>
      </w:r>
    </w:p>
    <w:p>
      <w:pPr>
        <w:pStyle w:val="Heading1"/>
        <w:spacing w:after="160" w:before="320"/>
      </w:pPr>
      <w:r>
        <w:t xml:space="preserve">Completion Checklist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1200"/>
        <w:gridCol w:w="2750"/>
        <w:gridCol w:w="2000"/>
      </w:tblGrid>
      <w:tr>
        <w:tc>
          <w:tcPr>
            <w:tcW w:type="dxa" w:w="3400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Step</w:t>
            </w:r>
          </w:p>
        </w:tc>
        <w:tc>
          <w:tcPr>
            <w:tcW w:type="dxa" w:w="1200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Done?</w:t>
            </w:r>
          </w:p>
        </w:tc>
        <w:tc>
          <w:tcPr>
            <w:tcW w:type="dxa" w:w="2750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Evidence Link</w:t>
            </w:r>
          </w:p>
        </w:tc>
        <w:tc>
          <w:tcPr>
            <w:tcW w:type="dxa" w:w="2000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</w:tr>
      <w:tr>
        <w:tc>
          <w:tcPr>
            <w:tcW w:type="dxa" w:w="3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1. Asset &amp; ownership linkage</w:t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27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2. Baseline infrastructure assessment</w:t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27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3. Log sources onboarded</w:t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27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4. Alerts built and tested</w:t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27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5. Risk Treatment Plan built</w:t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27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6. First monthly review + MANCO report</w:t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27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7. Tickets updated and closed</w:t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27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595959"/>
        <w:sz w:val="16"/>
        <w:szCs w:val="16"/>
      </w:rPr>
      <w:t xml:space="preserve">Page </w:t>
    </w:r>
    <w:r>
      <w:rPr>
        <w:color w:val="59595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595959"/>
        <w:sz w:val="16"/>
        <w:szCs w:val="16"/>
      </w:rPr>
      <w:t xml:space="preserve">OMS Risk Governance — Implementation Runbook (System Access Required)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2026-07-27T13:20:27.317Z</dcterms:created>
  <dcterms:modified xsi:type="dcterms:W3CDTF">2026-07-27T13:20:27.348Z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