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  <w:jc w:val="center"/>
      </w:pPr>
      <w:r>
        <w:rPr>
          <w:b/>
          <w:bCs/>
          <w:color w:val="1F3864"/>
          <w:sz w:val="32"/>
          <w:szCs w:val="32"/>
        </w:rPr>
        <w:t xml:space="preserve">OMS</w:t>
      </w:r>
    </w:p>
    <w:p>
      <w:pPr>
        <w:spacing w:after="200" w:before="200"/>
        <w:jc w:val="center"/>
      </w:pPr>
      <w:r>
        <w:rPr>
          <w:b/>
          <w:bCs/>
          <w:color w:val="1F3864"/>
          <w:sz w:val="40"/>
          <w:szCs w:val="40"/>
        </w:rPr>
        <w:t xml:space="preserve">Risk Governance — Review, Reporting &amp; Workflow Templates</w:t>
      </w:r>
    </w:p>
    <w:p>
      <w:pPr>
        <w:spacing w:after="600"/>
        <w:jc w:val="center"/>
      </w:pPr>
      <w:r>
        <w:rPr>
          <w:i/>
          <w:iCs/>
          <w:color w:val="595959"/>
          <w:sz w:val="22"/>
          <w:szCs w:val="22"/>
        </w:rPr>
        <w:t xml:space="preserve">Companion to the IT &amp; Information Security Risk Management Policy and Procedure (Redmine #179/#186)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50"/>
      </w:tblGrid>
      <w:tr>
        <w:tc>
          <w:tcPr>
            <w:tcW w:type="dxa" w:w="42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Contents</w:t>
            </w:r>
          </w:p>
        </w:tc>
        <w:tc>
          <w:tcPr>
            <w:tcW w:type="dxa" w:w="51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Monthly Risk Review Template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Run and evidence the monthly review required by policy Section 5.1 / Redmine #186.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2. MANCO Risk Dashboard / Report Template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Structure the monthly report to MANCO required by policy Section 6.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Residual-Risk Acceptance Workflow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Formal process and form for accepting residual risk above appetite.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4. Risk Escalation &amp; Overdue-Action Procedure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Defines how overdue actions and out-of-appetite risks are escalated.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1. Monthly Risk Review Template</w:t>
      </w:r>
    </w:p>
    <w:p>
      <w:pPr>
        <w:spacing w:after="140"/>
      </w:pPr>
      <w:r>
        <w:t xml:space="preserve">Complete this template every month and store the completed copy in the controlled SharePoint library, with the canonical link added to Redmine #179.</w:t>
      </w:r>
    </w:p>
    <w:p>
      <w:pPr>
        <w:pStyle w:val="Heading3"/>
        <w:spacing w:after="100" w:before="180"/>
      </w:pPr>
      <w:r>
        <w:t xml:space="preserve">1.1 Review Details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50"/>
      </w:tblGrid>
      <w:tr>
        <w:tc>
          <w:tcPr>
            <w:tcW w:type="dxa" w:w="30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3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Review month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Date held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Chaired by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Attendees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Register version reviewed</w:t>
            </w:r>
          </w:p>
        </w:tc>
        <w:tc>
          <w:tcPr>
            <w:tcW w:type="dxa" w:w="63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1.2 Register Movement Since Last Review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1800"/>
        <w:gridCol w:w="4050"/>
      </w:tblGrid>
      <w:tr>
        <w:tc>
          <w:tcPr>
            <w:tcW w:type="dxa" w:w="35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18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Count</w:t>
            </w:r>
          </w:p>
        </w:tc>
        <w:tc>
          <w:tcPr>
            <w:tcW w:type="dxa" w:w="40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New risks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40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Changed risks (rating or status)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40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Closed risks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40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Overdue actions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40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1.3 High and Critical Risk Review</w:t>
      </w:r>
    </w:p>
    <w:p>
      <w:pPr>
        <w:spacing w:after="140"/>
      </w:pPr>
      <w:r>
        <w:t xml:space="preserve">List every High and Critical risk from the register and confirm status. Add rows as needed.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1200"/>
        <w:gridCol w:w="1800"/>
        <w:gridCol w:w="1900"/>
        <w:gridCol w:w="1450"/>
      </w:tblGrid>
      <w:tr>
        <w:tc>
          <w:tcPr>
            <w:tcW w:type="dxa" w:w="14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Risk ID</w:t>
            </w:r>
          </w:p>
        </w:tc>
        <w:tc>
          <w:tcPr>
            <w:tcW w:type="dxa" w:w="26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Rating</w:t>
            </w:r>
          </w:p>
        </w:tc>
        <w:tc>
          <w:tcPr>
            <w:tcW w:type="dxa" w:w="18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9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Treatment Progress</w:t>
            </w:r>
          </w:p>
        </w:tc>
        <w:tc>
          <w:tcPr>
            <w:tcW w:type="dxa" w:w="14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On Track?</w:t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1.4 Emerging Risks / Changes to Watch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New technology, supplier, legal, client or threat changes identified this month: _______________</w:t>
      </w:r>
    </w:p>
    <w:p>
      <w:pPr>
        <w:pStyle w:val="Heading3"/>
        <w:spacing w:after="100" w:before="180"/>
      </w:pPr>
      <w:r>
        <w:t xml:space="preserve">1.5 Decisions and Actions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50"/>
        <w:gridCol w:w="2400"/>
        <w:gridCol w:w="2400"/>
      </w:tblGrid>
      <w:tr>
        <w:tc>
          <w:tcPr>
            <w:tcW w:type="dxa" w:w="45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Decision / Action</w:t>
            </w:r>
          </w:p>
        </w:tc>
        <w:tc>
          <w:tcPr>
            <w:tcW w:type="dxa" w:w="24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4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</w:tr>
      <w:tr>
        <w:tc>
          <w:tcPr>
            <w:tcW w:type="dxa" w:w="4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5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1.6 Sign-off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50"/>
        <w:gridCol w:w="2250"/>
        <w:gridCol w:w="2250"/>
      </w:tblGrid>
      <w:tr>
        <w:tc>
          <w:tcPr>
            <w:tcW w:type="dxa" w:w="26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22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22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tcW w:type="dxa" w:w="22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2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Process Owner</w:t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2. MANCO Risk Dashboard / Report Template</w:t>
      </w:r>
    </w:p>
    <w:p>
      <w:pPr>
        <w:spacing w:after="140"/>
      </w:pPr>
      <w:r>
        <w:t xml:space="preserve">A concise, MANCO-facing summary. Aim for one to two pages; link to the full register rather than reproducing it.</w:t>
      </w:r>
    </w:p>
    <w:p>
      <w:pPr>
        <w:pStyle w:val="Heading3"/>
        <w:spacing w:after="100" w:before="180"/>
      </w:pPr>
      <w:r>
        <w:t xml:space="preserve">2.1 Executive Summary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1950"/>
        <w:gridCol w:w="1950"/>
        <w:gridCol w:w="1950"/>
      </w:tblGrid>
      <w:tr>
        <w:tc>
          <w:tcPr>
            <w:tcW w:type="dxa" w:w="35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19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This Month</w:t>
            </w:r>
          </w:p>
        </w:tc>
        <w:tc>
          <w:tcPr>
            <w:tcW w:type="dxa" w:w="19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Last Month</w:t>
            </w:r>
          </w:p>
        </w:tc>
        <w:tc>
          <w:tcPr>
            <w:tcW w:type="dxa" w:w="19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Trend</w:t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Total open risks</w:t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Critical risks</w:t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High risks</w:t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Overdue actions</w:t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Risks outside appetite</w:t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2.2 Current High and Critical Risks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300"/>
        <w:gridCol w:w="1400"/>
        <w:gridCol w:w="1800"/>
        <w:gridCol w:w="1450"/>
      </w:tblGrid>
      <w:tr>
        <w:tc>
          <w:tcPr>
            <w:tcW w:type="dxa" w:w="14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Risk ID</w:t>
            </w:r>
          </w:p>
        </w:tc>
        <w:tc>
          <w:tcPr>
            <w:tcW w:type="dxa" w:w="33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4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Rating</w:t>
            </w:r>
          </w:p>
        </w:tc>
        <w:tc>
          <w:tcPr>
            <w:tcW w:type="dxa" w:w="18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4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2.3 Movement Summary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New this month: _______________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Closed this month: _______________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Accepted this month (with rationale): _______________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Overdue (no documented decision): _______________</w:t>
      </w:r>
    </w:p>
    <w:p>
      <w:pPr>
        <w:pStyle w:val="Heading3"/>
        <w:spacing w:after="100" w:before="180"/>
      </w:pPr>
      <w:r>
        <w:t xml:space="preserve">2.4 Top Control Gaps and Dependencies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_______________</w:t>
      </w:r>
    </w:p>
    <w:p>
      <w:pPr>
        <w:pStyle w:val="Heading3"/>
        <w:spacing w:after="100" w:before="180"/>
      </w:pPr>
      <w:r>
        <w:t xml:space="preserve">2.5 Material Incidents, Vulnerabilities, Supplier Risks and Audit Findings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_______________</w:t>
      </w:r>
    </w:p>
    <w:p>
      <w:pPr>
        <w:pStyle w:val="Heading3"/>
        <w:spacing w:after="100" w:before="180"/>
      </w:pPr>
      <w:r>
        <w:t xml:space="preserve">2.6 Decisions, Resources or Approvals Required from MANCO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17"/>
        <w:gridCol w:w="3117"/>
        <w:gridCol w:w="3116"/>
      </w:tblGrid>
      <w:tr>
        <w:tc>
          <w:tcPr>
            <w:tcW w:type="dxa" w:w="3117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3117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Decision Needed</w:t>
            </w:r>
          </w:p>
        </w:tc>
        <w:tc>
          <w:tcPr>
            <w:tcW w:type="dxa" w:w="3116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Recommendation</w:t>
            </w:r>
          </w:p>
        </w:tc>
      </w:tr>
      <w:tr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1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2.7 MANCO Record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50"/>
        <w:gridCol w:w="2450"/>
        <w:gridCol w:w="2450"/>
      </w:tblGrid>
      <w:tr>
        <w:tc>
          <w:tcPr>
            <w:tcW w:type="dxa" w:w="20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Date reviewed</w:t>
            </w:r>
          </w:p>
        </w:tc>
        <w:tc>
          <w:tcPr>
            <w:tcW w:type="dxa" w:w="24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Attendees</w:t>
            </w:r>
          </w:p>
        </w:tc>
        <w:tc>
          <w:tcPr>
            <w:tcW w:type="dxa" w:w="24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Decisions recorded</w:t>
            </w:r>
          </w:p>
        </w:tc>
        <w:tc>
          <w:tcPr>
            <w:tcW w:type="dxa" w:w="24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Evidence link</w:t>
            </w:r>
          </w:p>
        </w:tc>
      </w:tr>
      <w:tr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4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3. Residual-Risk Acceptance Workflow</w:t>
      </w:r>
    </w:p>
    <w:p>
      <w:pPr>
        <w:spacing w:after="140"/>
      </w:pPr>
      <w:r>
        <w:t xml:space="preserve">Used whenever a risk owner proposes to accept residual risk rather than treat it further, or where treatment cannot bring residual risk within appetite.</w:t>
      </w:r>
    </w:p>
    <w:p>
      <w:pPr>
        <w:pStyle w:val="Heading3"/>
        <w:spacing w:after="100" w:before="180"/>
      </w:pPr>
      <w:r>
        <w:t xml:space="preserve">3.1 Process</w:t>
      </w:r>
    </w:p>
    <w:p>
      <w:pPr>
        <w:spacing w:after="100"/>
      </w:pPr>
      <w:r>
        <w:t xml:space="preserve">1. Risk owner confirms residual rating and reviews it against approved appetite (policy Section 4.3).</w:t>
      </w:r>
    </w:p>
    <w:p>
      <w:pPr>
        <w:spacing w:after="100"/>
      </w:pPr>
      <w:r>
        <w:t xml:space="preserve">2. If residual risk is within appetite: no formal acceptance record is required beyond the register entry.</w:t>
      </w:r>
    </w:p>
    <w:p>
      <w:pPr>
        <w:spacing w:after="100"/>
      </w:pPr>
      <w:r>
        <w:t xml:space="preserve">3. If residual risk is outside appetite: risk owner completes the Acceptance Form below, including rationale and compensating controls.</w:t>
      </w:r>
    </w:p>
    <w:p>
      <w:pPr>
        <w:spacing w:after="100"/>
      </w:pPr>
      <w:r>
        <w:t xml:space="preserve">4. Form routed to the authorised approver for the residual rating: Process Owner (Low/Medium), Executive Risk Owner (High), MANCO (Critical) — see policy Section 2.1.</w:t>
      </w:r>
    </w:p>
    <w:p>
      <w:pPr>
        <w:spacing w:after="100"/>
      </w:pPr>
      <w:r>
        <w:t xml:space="preserve">5. Approver reviews rationale and compensating controls, then approves, rejects, or requests further treatment.</w:t>
      </w:r>
    </w:p>
    <w:p>
      <w:pPr>
        <w:spacing w:after="100"/>
      </w:pPr>
      <w:r>
        <w:t xml:space="preserve">6. Approved acceptances are recorded in the register (Acceptance Approver, Rationale, Expiry/Review Date fields) with the signed form linked as evidence.</w:t>
      </w:r>
    </w:p>
    <w:p>
      <w:pPr>
        <w:spacing w:after="100"/>
      </w:pPr>
      <w:r>
        <w:t xml:space="preserve">7. Accepted risks are re-reviewed automatically at the recorded review/expiry date — treat as a new decision point, not an indefinite acceptance.</w:t>
      </w:r>
    </w:p>
    <w:p>
      <w:pPr>
        <w:pStyle w:val="Heading3"/>
        <w:spacing w:after="100" w:before="180"/>
      </w:pPr>
      <w:r>
        <w:t xml:space="preserve">3.2 Residual-Risk Acceptance Form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50"/>
      </w:tblGrid>
      <w:tr>
        <w:tc>
          <w:tcPr>
            <w:tcW w:type="dxa" w:w="420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5150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Risk ID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Risk statement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Residual rating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Reason risk cannot be further treated / treatment not proportionate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Compensating controls in place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Proposed acceptance period / review date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Risk owner (proposer)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Approver name and role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Approval decision (Approved / Rejected / Further treatment required)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1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t xml:space="preserve">4. Risk Escalation &amp; Overdue-Action Procedure</w:t>
      </w:r>
    </w:p>
    <w:p>
      <w:pPr>
        <w:spacing w:after="140"/>
      </w:pPr>
      <w:r>
        <w:t xml:space="preserve">Defines how risks and treatment actions are escalated when they fall outside appetite or pass their due date without resolution.</w:t>
      </w:r>
    </w:p>
    <w:p>
      <w:pPr>
        <w:pStyle w:val="Heading3"/>
        <w:spacing w:after="100" w:before="180"/>
      </w:pPr>
      <w:r>
        <w:t xml:space="preserve">4.1 Triggers for Escalation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treatment action passes its target date without being marked Done.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risk's residual rating is, or becomes, outside approved appetite (policy Section 4.3).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Critical risk is identified at any time (event-driven, not just monthly).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risk owner or approver is unresponsive for more than 5 working days.</w:t>
      </w:r>
    </w:p>
    <w:p>
      <w:pPr>
        <w:pStyle w:val="Heading3"/>
        <w:spacing w:after="100" w:before="180"/>
      </w:pPr>
      <w:r>
        <w:t xml:space="preserve">4.2 Escalation Path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17"/>
        <w:gridCol w:w="3117"/>
        <w:gridCol w:w="3116"/>
      </w:tblGrid>
      <w:tr>
        <w:tc>
          <w:tcPr>
            <w:tcW w:type="dxa" w:w="3117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3117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First Escalation (within 2 working days)</w:t>
            </w:r>
          </w:p>
        </w:tc>
        <w:tc>
          <w:tcPr>
            <w:tcW w:type="dxa" w:w="3116"/>
            <w:shd w:fill="1F3864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Second Escalation (if unresolved after 5 working days)</w:t>
            </w:r>
          </w:p>
        </w:tc>
      </w:tr>
      <w:tr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Overdue Low/Medium action</w:t>
            </w:r>
          </w:p>
        </w:tc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Process Owner notifies action owner</w:t>
            </w:r>
          </w:p>
        </w:tc>
        <w:tc>
          <w:tcPr>
            <w:tcW w:type="dxa" w:w="31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Process Owner notifies risk owner</w:t>
            </w:r>
          </w:p>
        </w:tc>
      </w:tr>
      <w:tr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Overdue High action</w:t>
            </w:r>
          </w:p>
        </w:tc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Process Owner notifies risk owner</w:t>
            </w:r>
          </w:p>
        </w:tc>
        <w:tc>
          <w:tcPr>
            <w:tcW w:type="dxa" w:w="31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Executive Risk Owner</w:t>
            </w:r>
          </w:p>
        </w:tc>
      </w:tr>
      <w:tr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Overdue Critical action / risk outside appetite at Critical</w:t>
            </w:r>
          </w:p>
        </w:tc>
        <w:tc>
          <w:tcPr>
            <w:tcW w:type="dxa" w:w="3117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Executive Risk Owner notified immediately</w:t>
            </w:r>
          </w:p>
        </w:tc>
        <w:tc>
          <w:tcPr>
            <w:tcW w:type="dxa" w:w="311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Escalated to MANCO at the next available session, or sooner if material</w:t>
            </w:r>
          </w:p>
        </w:tc>
      </w:tr>
    </w:tbl>
    <w:p>
      <w:pPr>
        <w:spacing w:after="160"/>
      </w:pPr>
    </w:p>
    <w:p>
      <w:pPr>
        <w:pStyle w:val="Heading3"/>
        <w:spacing w:after="100" w:before="180"/>
      </w:pPr>
      <w:r>
        <w:t xml:space="preserve">4.3 Recording Escalations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Every escalation is logged in the risk register's Change History field with date, trigger and outcome.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A risk cannot remain overdue without a documented management decision (extend, re-prioritise, accept, or reassign) — silence is not an acceptable outcome.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Escalations to MANCO and their outcomes are captured in the MANCO Record (Section 2.7) and linked from Redmine #179.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95959"/>
        <w:sz w:val="16"/>
        <w:szCs w:val="16"/>
      </w:rPr>
      <w:t xml:space="preserve">OMS Risk Governance — Review, Reporting &amp; Workflow Templates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2026-07-22T10:05:55.542Z</dcterms:created>
  <dcterms:modified xsi:type="dcterms:W3CDTF">2026-07-22T10:05:55.557Z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