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jc w:val="center"/>
      </w:pPr>
      <w:r>
        <w:rPr>
          <w:b/>
          <w:bCs/>
          <w:color w:val="1F3864"/>
          <w:sz w:val="32"/>
          <w:szCs w:val="32"/>
        </w:rPr>
        <w:t xml:space="preserve">OMS</w:t>
      </w:r>
    </w:p>
    <w:p>
      <w:pPr>
        <w:spacing w:after="200" w:before="200"/>
        <w:jc w:val="center"/>
      </w:pPr>
      <w:r>
        <w:rPr>
          <w:b/>
          <w:bCs/>
          <w:color w:val="1F3864"/>
          <w:sz w:val="44"/>
          <w:szCs w:val="44"/>
        </w:rPr>
        <w:t xml:space="preserve">IT and Information Security Risk Management Policy and Procedure</w:t>
      </w:r>
    </w:p>
    <w:p>
      <w:pPr>
        <w:spacing w:after="800"/>
        <w:jc w:val="center"/>
      </w:pPr>
      <w:r>
        <w:rPr>
          <w:i/>
          <w:iCs/>
          <w:color w:val="595959"/>
          <w:sz w:val="22"/>
          <w:szCs w:val="22"/>
        </w:rPr>
        <w:t xml:space="preserve">Covering Redmine #179 (governance), #186 (periodic assessment) and #438 (asset register linkage)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000"/>
        <w:gridCol w:w="6350"/>
      </w:tblGrid>
      <w:tr>
        <w:tc>
          <w:tcPr>
            <w:tcW w:type="dxa" w:w="3000"/>
            <w:shd w:fill="1F3864" w:color="auto" w:val="clear"/>
            <w:tcMar>
              <w:top w:type="dxa" w:w="80"/>
              <w:left w:type="dxa" w:w="100"/>
              <w:bottom w:type="dxa" w:w="80"/>
              <w:right w:type="dxa" w:w="100"/>
            </w:tcMar>
          </w:tcPr>
          <w:p>
            <w:r>
              <w:rPr>
                <w:b/>
                <w:bCs/>
                <w:color w:val="FFFFFF"/>
                <w:sz w:val="20"/>
                <w:szCs w:val="20"/>
              </w:rPr>
              <w:t xml:space="preserve">Field</w:t>
            </w:r>
          </w:p>
        </w:tc>
        <w:tc>
          <w:tcPr>
            <w:tcW w:type="dxa" w:w="6350"/>
            <w:shd w:fill="1F3864" w:color="auto" w:val="clear"/>
            <w:tcMar>
              <w:top w:type="dxa" w:w="80"/>
              <w:left w:type="dxa" w:w="100"/>
              <w:bottom w:type="dxa" w:w="80"/>
              <w:right w:type="dxa" w:w="100"/>
            </w:tcMar>
          </w:tcPr>
          <w:p>
            <w:r>
              <w:rPr>
                <w:b/>
                <w:bCs/>
                <w:color w:val="FFFFFF"/>
                <w:sz w:val="20"/>
                <w:szCs w:val="20"/>
              </w:rPr>
              <w:t xml:space="preserve">Detail</w:t>
            </w:r>
          </w:p>
        </w:tc>
      </w:tr>
      <w:tr>
        <w:tc>
          <w:tcPr>
            <w:tcW w:type="dxa" w:w="3000"/>
            <w:tcMar>
              <w:top w:type="dxa" w:w="80"/>
              <w:left w:type="dxa" w:w="100"/>
              <w:bottom w:type="dxa" w:w="80"/>
              <w:right w:type="dxa" w:w="100"/>
            </w:tcMar>
          </w:tcPr>
          <w:p>
            <w:r>
              <w:rPr>
                <w:b w:val="false"/>
                <w:bCs w:val="false"/>
                <w:color w:val="000000"/>
                <w:sz w:val="20"/>
                <w:szCs w:val="20"/>
              </w:rPr>
              <w:t xml:space="preserve">Document owner</w:t>
            </w:r>
          </w:p>
        </w:tc>
        <w:tc>
          <w:tcPr>
            <w:tcW w:type="dxa" w:w="6350"/>
            <w:tcMar>
              <w:top w:type="dxa" w:w="80"/>
              <w:left w:type="dxa" w:w="100"/>
              <w:bottom w:type="dxa" w:w="80"/>
              <w:right w:type="dxa" w:w="100"/>
            </w:tcMar>
          </w:tcPr>
          <w:p>
            <w:r>
              <w:rPr>
                <w:b w:val="false"/>
                <w:bCs w:val="false"/>
                <w:color w:val="000000"/>
                <w:sz w:val="20"/>
                <w:szCs w:val="20"/>
              </w:rPr>
              <w:t xml:space="preserve">[Executive Risk Owner – to be appointed]</w:t>
            </w:r>
          </w:p>
        </w:tc>
      </w:tr>
      <w:tr>
        <w:tc>
          <w:tcPr>
            <w:tcW w:type="dxa" w:w="3000"/>
            <w:tcMar>
              <w:top w:type="dxa" w:w="80"/>
              <w:left w:type="dxa" w:w="100"/>
              <w:bottom w:type="dxa" w:w="80"/>
              <w:right w:type="dxa" w:w="100"/>
            </w:tcMar>
          </w:tcPr>
          <w:p>
            <w:r>
              <w:rPr>
                <w:b w:val="false"/>
                <w:bCs w:val="false"/>
                <w:color w:val="000000"/>
                <w:sz w:val="20"/>
                <w:szCs w:val="20"/>
              </w:rPr>
              <w:t xml:space="preserve">Process owner</w:t>
            </w:r>
          </w:p>
        </w:tc>
        <w:tc>
          <w:tcPr>
            <w:tcW w:type="dxa" w:w="6350"/>
            <w:tcMar>
              <w:top w:type="dxa" w:w="80"/>
              <w:left w:type="dxa" w:w="100"/>
              <w:bottom w:type="dxa" w:w="80"/>
              <w:right w:type="dxa" w:w="100"/>
            </w:tcMar>
          </w:tcPr>
          <w:p>
            <w:r>
              <w:rPr>
                <w:b w:val="false"/>
                <w:bCs w:val="false"/>
                <w:color w:val="000000"/>
                <w:sz w:val="20"/>
                <w:szCs w:val="20"/>
              </w:rPr>
              <w:t xml:space="preserve">[Information Security Risk Coordinator – to be appointed]</w:t>
            </w:r>
          </w:p>
        </w:tc>
      </w:tr>
      <w:tr>
        <w:tc>
          <w:tcPr>
            <w:tcW w:type="dxa" w:w="3000"/>
            <w:tcMar>
              <w:top w:type="dxa" w:w="80"/>
              <w:left w:type="dxa" w:w="100"/>
              <w:bottom w:type="dxa" w:w="80"/>
              <w:right w:type="dxa" w:w="100"/>
            </w:tcMar>
          </w:tcPr>
          <w:p>
            <w:r>
              <w:rPr>
                <w:b w:val="false"/>
                <w:bCs w:val="false"/>
                <w:color w:val="000000"/>
                <w:sz w:val="20"/>
                <w:szCs w:val="20"/>
              </w:rPr>
              <w:t xml:space="preserve">Approver</w:t>
            </w:r>
          </w:p>
        </w:tc>
        <w:tc>
          <w:tcPr>
            <w:tcW w:type="dxa" w:w="6350"/>
            <w:tcMar>
              <w:top w:type="dxa" w:w="80"/>
              <w:left w:type="dxa" w:w="100"/>
              <w:bottom w:type="dxa" w:w="80"/>
              <w:right w:type="dxa" w:w="100"/>
            </w:tcMar>
          </w:tcPr>
          <w:p>
            <w:r>
              <w:rPr>
                <w:b w:val="false"/>
                <w:bCs w:val="false"/>
                <w:color w:val="000000"/>
                <w:sz w:val="20"/>
                <w:szCs w:val="20"/>
              </w:rPr>
              <w:t xml:space="preserve">MANCO</w:t>
            </w:r>
          </w:p>
        </w:tc>
      </w:tr>
      <w:tr>
        <w:tc>
          <w:tcPr>
            <w:tcW w:type="dxa" w:w="3000"/>
            <w:tcMar>
              <w:top w:type="dxa" w:w="80"/>
              <w:left w:type="dxa" w:w="100"/>
              <w:bottom w:type="dxa" w:w="80"/>
              <w:right w:type="dxa" w:w="100"/>
            </w:tcMar>
          </w:tcPr>
          <w:p>
            <w:r>
              <w:rPr>
                <w:b w:val="false"/>
                <w:bCs w:val="false"/>
                <w:color w:val="000000"/>
                <w:sz w:val="20"/>
                <w:szCs w:val="20"/>
              </w:rPr>
              <w:t xml:space="preserve">Status</w:t>
            </w:r>
          </w:p>
        </w:tc>
        <w:tc>
          <w:tcPr>
            <w:tcW w:type="dxa" w:w="6350"/>
            <w:tcMar>
              <w:top w:type="dxa" w:w="80"/>
              <w:left w:type="dxa" w:w="100"/>
              <w:bottom w:type="dxa" w:w="80"/>
              <w:right w:type="dxa" w:w="100"/>
            </w:tcMar>
          </w:tcPr>
          <w:p>
            <w:r>
              <w:rPr>
                <w:b w:val="false"/>
                <w:bCs w:val="false"/>
                <w:color w:val="000000"/>
                <w:sz w:val="20"/>
                <w:szCs w:val="20"/>
              </w:rPr>
              <w:t xml:space="preserve">Draft v0.1 – pending approval</w:t>
            </w:r>
          </w:p>
        </w:tc>
      </w:tr>
      <w:tr>
        <w:tc>
          <w:tcPr>
            <w:tcW w:type="dxa" w:w="3000"/>
            <w:tcMar>
              <w:top w:type="dxa" w:w="80"/>
              <w:left w:type="dxa" w:w="100"/>
              <w:bottom w:type="dxa" w:w="80"/>
              <w:right w:type="dxa" w:w="100"/>
            </w:tcMar>
          </w:tcPr>
          <w:p>
            <w:r>
              <w:rPr>
                <w:b w:val="false"/>
                <w:bCs w:val="false"/>
                <w:color w:val="000000"/>
                <w:sz w:val="20"/>
                <w:szCs w:val="20"/>
              </w:rPr>
              <w:t xml:space="preserve">Related tickets</w:t>
            </w:r>
          </w:p>
        </w:tc>
        <w:tc>
          <w:tcPr>
            <w:tcW w:type="dxa" w:w="6350"/>
            <w:tcMar>
              <w:top w:type="dxa" w:w="80"/>
              <w:left w:type="dxa" w:w="100"/>
              <w:bottom w:type="dxa" w:w="80"/>
              <w:right w:type="dxa" w:w="100"/>
            </w:tcMar>
          </w:tcPr>
          <w:p>
            <w:r>
              <w:rPr>
                <w:b w:val="false"/>
                <w:bCs w:val="false"/>
                <w:color w:val="000000"/>
                <w:sz w:val="20"/>
                <w:szCs w:val="20"/>
              </w:rPr>
              <w:t xml:space="preserve">#179, #186, #438, #188</w:t>
            </w:r>
          </w:p>
        </w:tc>
      </w:tr>
      <w:tr>
        <w:tc>
          <w:tcPr>
            <w:tcW w:type="dxa" w:w="3000"/>
            <w:tcMar>
              <w:top w:type="dxa" w:w="80"/>
              <w:left w:type="dxa" w:w="100"/>
              <w:bottom w:type="dxa" w:w="80"/>
              <w:right w:type="dxa" w:w="100"/>
            </w:tcMar>
          </w:tcPr>
          <w:p>
            <w:r>
              <w:rPr>
                <w:b w:val="false"/>
                <w:bCs w:val="false"/>
                <w:color w:val="000000"/>
                <w:sz w:val="20"/>
                <w:szCs w:val="20"/>
              </w:rPr>
              <w:t xml:space="preserve">Review cycle</w:t>
            </w:r>
          </w:p>
        </w:tc>
        <w:tc>
          <w:tcPr>
            <w:tcW w:type="dxa" w:w="6350"/>
            <w:tcMar>
              <w:top w:type="dxa" w:w="80"/>
              <w:left w:type="dxa" w:w="100"/>
              <w:bottom w:type="dxa" w:w="80"/>
              <w:right w:type="dxa" w:w="100"/>
            </w:tcMar>
          </w:tcPr>
          <w:p>
            <w:r>
              <w:rPr>
                <w:b w:val="false"/>
                <w:bCs w:val="false"/>
                <w:color w:val="000000"/>
                <w:sz w:val="20"/>
                <w:szCs w:val="20"/>
              </w:rPr>
              <w:t xml:space="preserve">Annual, or on material change</w:t>
            </w:r>
          </w:p>
        </w:tc>
      </w:tr>
      <w:tr>
        <w:tc>
          <w:tcPr>
            <w:tcW w:type="dxa" w:w="3000"/>
            <w:tcMar>
              <w:top w:type="dxa" w:w="80"/>
              <w:left w:type="dxa" w:w="100"/>
              <w:bottom w:type="dxa" w:w="80"/>
              <w:right w:type="dxa" w:w="100"/>
            </w:tcMar>
          </w:tcPr>
          <w:p>
            <w:r>
              <w:rPr>
                <w:b w:val="false"/>
                <w:bCs w:val="false"/>
                <w:color w:val="000000"/>
                <w:sz w:val="20"/>
                <w:szCs w:val="20"/>
              </w:rPr>
              <w:t xml:space="preserve">Classification</w:t>
            </w:r>
          </w:p>
        </w:tc>
        <w:tc>
          <w:tcPr>
            <w:tcW w:type="dxa" w:w="6350"/>
            <w:tcMar>
              <w:top w:type="dxa" w:w="80"/>
              <w:left w:type="dxa" w:w="100"/>
              <w:bottom w:type="dxa" w:w="80"/>
              <w:right w:type="dxa" w:w="100"/>
            </w:tcMar>
          </w:tcPr>
          <w:p>
            <w:r>
              <w:rPr>
                <w:b w:val="false"/>
                <w:bCs w:val="false"/>
                <w:color w:val="000000"/>
                <w:sz w:val="20"/>
                <w:szCs w:val="20"/>
              </w:rPr>
              <w:t xml:space="preserve">Internal – controlled document</w:t>
            </w:r>
          </w:p>
        </w:tc>
      </w:tr>
    </w:tbl>
    <w:p>
      <w:r>
        <w:br w:type="page"/>
      </w:r>
    </w:p>
    <w:p>
      <w:pPr>
        <w:pStyle w:val="Heading1"/>
        <w:spacing w:after="160" w:before="320"/>
      </w:pPr>
      <w:r>
        <w:t xml:space="preserve">1. Purpose and Scope</w:t>
      </w:r>
    </w:p>
    <w:p>
      <w:pPr>
        <w:spacing w:after="140"/>
      </w:pPr>
      <w:r>
        <w:t xml:space="preserve">This document establishes OMS's approach to identifying, assessing, treating, monitoring, reviewing and reporting information security and IT risk. It closes the gap recorded in Redmine #179 (no formal risk-treatment process) and #186 (no periodic risk assessments), and defines how asset data from #438 feeds the risk register.</w:t>
      </w:r>
    </w:p>
    <w:p>
      <w:pPr>
        <w:spacing w:after="140"/>
      </w:pPr>
      <w:r>
        <w:t xml:space="preserve">The policy applies to all OMS products, infrastructure, data, suppliers, staff and third parties, and covers technical, operational, legal, contractual, client and reputational risk arising from information systems and information security.</w:t>
      </w:r>
    </w:p>
    <w:p>
      <w:pPr>
        <w:spacing w:after="140"/>
      </w:pPr>
      <w:r>
        <w:t xml:space="preserve">This policy aligns with the ISO/IEC 27001 risk assessment and treatment requirements and with OMS's obligations under POPIA and applicable client and contractual terms.</w:t>
      </w:r>
    </w:p>
    <w:p>
      <w:pPr>
        <w:pStyle w:val="Heading1"/>
        <w:spacing w:after="160" w:before="320"/>
      </w:pPr>
      <w:r>
        <w:t xml:space="preserve">2. Governance and Ownership</w:t>
      </w:r>
    </w:p>
    <w:p>
      <w:pPr>
        <w:spacing w:after="140"/>
      </w:pPr>
      <w:r>
        <w:t xml:space="preserve">The following roles must be formally appointed and recorded before the process is declared operational: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400"/>
        <w:gridCol w:w="5950"/>
      </w:tblGrid>
      <w:tr>
        <w:tc>
          <w:tcPr>
            <w:tcW w:type="dxa" w:w="3400"/>
            <w:shd w:fill="1F3864" w:color="auto" w:val="clear"/>
            <w:tcMar>
              <w:top w:type="dxa" w:w="80"/>
              <w:left w:type="dxa" w:w="100"/>
              <w:bottom w:type="dxa" w:w="80"/>
              <w:right w:type="dxa" w:w="100"/>
            </w:tcMar>
          </w:tcPr>
          <w:p>
            <w:r>
              <w:rPr>
                <w:b/>
                <w:bCs/>
                <w:color w:val="FFFFFF"/>
                <w:sz w:val="20"/>
                <w:szCs w:val="20"/>
              </w:rPr>
              <w:t xml:space="preserve">Role</w:t>
            </w:r>
          </w:p>
        </w:tc>
        <w:tc>
          <w:tcPr>
            <w:tcW w:type="dxa" w:w="5950"/>
            <w:shd w:fill="1F3864" w:color="auto" w:val="clear"/>
            <w:tcMar>
              <w:top w:type="dxa" w:w="80"/>
              <w:left w:type="dxa" w:w="100"/>
              <w:bottom w:type="dxa" w:w="80"/>
              <w:right w:type="dxa" w:w="100"/>
            </w:tcMar>
          </w:tcPr>
          <w:p>
            <w:r>
              <w:rPr>
                <w:b/>
                <w:bCs/>
                <w:color w:val="FFFFFF"/>
                <w:sz w:val="20"/>
                <w:szCs w:val="20"/>
              </w:rPr>
              <w:t xml:space="preserve">Responsibility</w:t>
            </w:r>
          </w:p>
        </w:tc>
      </w:tr>
      <w:tr>
        <w:tc>
          <w:tcPr>
            <w:tcW w:type="dxa" w:w="3400"/>
            <w:tcMar>
              <w:top w:type="dxa" w:w="80"/>
              <w:left w:type="dxa" w:w="100"/>
              <w:bottom w:type="dxa" w:w="80"/>
              <w:right w:type="dxa" w:w="100"/>
            </w:tcMar>
          </w:tcPr>
          <w:p>
            <w:r>
              <w:rPr>
                <w:b w:val="false"/>
                <w:bCs w:val="false"/>
                <w:color w:val="000000"/>
                <w:sz w:val="20"/>
                <w:szCs w:val="20"/>
              </w:rPr>
              <w:t xml:space="preserve">Executive Risk Owner</w:t>
            </w:r>
          </w:p>
        </w:tc>
        <w:tc>
          <w:tcPr>
            <w:tcW w:type="dxa" w:w="5950"/>
            <w:tcMar>
              <w:top w:type="dxa" w:w="80"/>
              <w:left w:type="dxa" w:w="100"/>
              <w:bottom w:type="dxa" w:w="80"/>
              <w:right w:type="dxa" w:w="100"/>
            </w:tcMar>
          </w:tcPr>
          <w:p>
            <w:r>
              <w:rPr>
                <w:b w:val="false"/>
                <w:bCs w:val="false"/>
                <w:color w:val="000000"/>
                <w:sz w:val="20"/>
                <w:szCs w:val="20"/>
              </w:rPr>
              <w:t xml:space="preserve">Accountable for the overall risk programme; approves policy and appetite; escalation point for MANCO.</w:t>
            </w:r>
          </w:p>
        </w:tc>
      </w:tr>
      <w:tr>
        <w:tc>
          <w:tcPr>
            <w:tcW w:type="dxa" w:w="3400"/>
            <w:tcMar>
              <w:top w:type="dxa" w:w="80"/>
              <w:left w:type="dxa" w:w="100"/>
              <w:bottom w:type="dxa" w:w="80"/>
              <w:right w:type="dxa" w:w="100"/>
            </w:tcMar>
          </w:tcPr>
          <w:p>
            <w:r>
              <w:rPr>
                <w:b w:val="false"/>
                <w:bCs w:val="false"/>
                <w:color w:val="000000"/>
                <w:sz w:val="20"/>
                <w:szCs w:val="20"/>
              </w:rPr>
              <w:t xml:space="preserve">Process Owner (Information Security Risk Coordinator)</w:t>
            </w:r>
          </w:p>
        </w:tc>
        <w:tc>
          <w:tcPr>
            <w:tcW w:type="dxa" w:w="5950"/>
            <w:tcMar>
              <w:top w:type="dxa" w:w="80"/>
              <w:left w:type="dxa" w:w="100"/>
              <w:bottom w:type="dxa" w:w="80"/>
              <w:right w:type="dxa" w:w="100"/>
            </w:tcMar>
          </w:tcPr>
          <w:p>
            <w:r>
              <w:rPr>
                <w:b w:val="false"/>
                <w:bCs w:val="false"/>
                <w:color w:val="000000"/>
                <w:sz w:val="20"/>
                <w:szCs w:val="20"/>
              </w:rPr>
              <w:t xml:space="preserve">Runs the monthly review, maintains the register, coordinates assessments, prepares the MANCO report.</w:t>
            </w:r>
          </w:p>
        </w:tc>
      </w:tr>
      <w:tr>
        <w:tc>
          <w:tcPr>
            <w:tcW w:type="dxa" w:w="3400"/>
            <w:tcMar>
              <w:top w:type="dxa" w:w="80"/>
              <w:left w:type="dxa" w:w="100"/>
              <w:bottom w:type="dxa" w:w="80"/>
              <w:right w:type="dxa" w:w="100"/>
            </w:tcMar>
          </w:tcPr>
          <w:p>
            <w:r>
              <w:rPr>
                <w:b w:val="false"/>
                <w:bCs w:val="false"/>
                <w:color w:val="000000"/>
                <w:sz w:val="20"/>
                <w:szCs w:val="20"/>
              </w:rPr>
              <w:t xml:space="preserve">Risk Owners</w:t>
            </w:r>
          </w:p>
        </w:tc>
        <w:tc>
          <w:tcPr>
            <w:tcW w:type="dxa" w:w="5950"/>
            <w:tcMar>
              <w:top w:type="dxa" w:w="80"/>
              <w:left w:type="dxa" w:w="100"/>
              <w:bottom w:type="dxa" w:w="80"/>
              <w:right w:type="dxa" w:w="100"/>
            </w:tcMar>
          </w:tcPr>
          <w:p>
            <w:r>
              <w:rPr>
                <w:b w:val="false"/>
                <w:bCs w:val="false"/>
                <w:color w:val="000000"/>
                <w:sz w:val="20"/>
                <w:szCs w:val="20"/>
              </w:rPr>
              <w:t xml:space="preserve">Named individuals accountable for specific risks; approve treatment or acceptance.</w:t>
            </w:r>
          </w:p>
        </w:tc>
      </w:tr>
      <w:tr>
        <w:tc>
          <w:tcPr>
            <w:tcW w:type="dxa" w:w="3400"/>
            <w:tcMar>
              <w:top w:type="dxa" w:w="80"/>
              <w:left w:type="dxa" w:w="100"/>
              <w:bottom w:type="dxa" w:w="80"/>
              <w:right w:type="dxa" w:w="100"/>
            </w:tcMar>
          </w:tcPr>
          <w:p>
            <w:r>
              <w:rPr>
                <w:b w:val="false"/>
                <w:bCs w:val="false"/>
                <w:color w:val="000000"/>
                <w:sz w:val="20"/>
                <w:szCs w:val="20"/>
              </w:rPr>
              <w:t xml:space="preserve">Treatment-Action Owners</w:t>
            </w:r>
          </w:p>
        </w:tc>
        <w:tc>
          <w:tcPr>
            <w:tcW w:type="dxa" w:w="5950"/>
            <w:tcMar>
              <w:top w:type="dxa" w:w="80"/>
              <w:left w:type="dxa" w:w="100"/>
              <w:bottom w:type="dxa" w:w="80"/>
              <w:right w:type="dxa" w:w="100"/>
            </w:tcMar>
          </w:tcPr>
          <w:p>
            <w:r>
              <w:rPr>
                <w:b w:val="false"/>
                <w:bCs w:val="false"/>
                <w:color w:val="000000"/>
                <w:sz w:val="20"/>
                <w:szCs w:val="20"/>
              </w:rPr>
              <w:t xml:space="preserve">Deliver individual mitigation actions to target dates.</w:t>
            </w:r>
          </w:p>
        </w:tc>
      </w:tr>
      <w:tr>
        <w:tc>
          <w:tcPr>
            <w:tcW w:type="dxa" w:w="3400"/>
            <w:tcMar>
              <w:top w:type="dxa" w:w="80"/>
              <w:left w:type="dxa" w:w="100"/>
              <w:bottom w:type="dxa" w:w="80"/>
              <w:right w:type="dxa" w:w="100"/>
            </w:tcMar>
          </w:tcPr>
          <w:p>
            <w:r>
              <w:rPr>
                <w:b w:val="false"/>
                <w:bCs w:val="false"/>
                <w:color w:val="000000"/>
                <w:sz w:val="20"/>
                <w:szCs w:val="20"/>
              </w:rPr>
              <w:t xml:space="preserve">MANCO</w:t>
            </w:r>
          </w:p>
        </w:tc>
        <w:tc>
          <w:tcPr>
            <w:tcW w:type="dxa" w:w="5950"/>
            <w:tcMar>
              <w:top w:type="dxa" w:w="80"/>
              <w:left w:type="dxa" w:w="100"/>
              <w:bottom w:type="dxa" w:w="80"/>
              <w:right w:type="dxa" w:w="100"/>
            </w:tcMar>
          </w:tcPr>
          <w:p>
            <w:r>
              <w:rPr>
                <w:b w:val="false"/>
                <w:bCs w:val="false"/>
                <w:color w:val="000000"/>
                <w:sz w:val="20"/>
                <w:szCs w:val="20"/>
              </w:rPr>
              <w:t xml:space="preserve">Reviews material risks monthly; approves risk acceptance above delegated thresholds; approves the policy annually.</w:t>
            </w:r>
          </w:p>
        </w:tc>
      </w:tr>
    </w:tbl>
    <w:p>
      <w:pPr>
        <w:spacing w:after="120"/>
      </w:pPr>
    </w:p>
    <w:p>
      <w:pPr>
        <w:spacing w:after="140"/>
      </w:pPr>
      <w:r>
        <w:t xml:space="preserve">Note: assignment of Redmine #179 to an individual is an administrative/tracking assignment only. It does not, by itself, constitute risk ownership or risk acceptance. Each risk in the register must have its own named, accountable owner and an explicit, authorised treatment or acceptance decision.</w:t>
      </w:r>
    </w:p>
    <w:p>
      <w:pPr>
        <w:pStyle w:val="Heading3"/>
        <w:spacing w:after="100" w:before="180"/>
      </w:pPr>
      <w:r>
        <w:t xml:space="preserve">2.1 Risk Appetite and Escalation Thresholds</w:t>
      </w:r>
    </w:p>
    <w:p>
      <w:pPr>
        <w:pStyle w:val="ListParagraph"/>
        <w:numPr>
          <w:ilvl w:val="0"/>
          <w:numId w:val="1"/>
        </w:numPr>
        <w:spacing w:after="60"/>
      </w:pPr>
      <w:r>
        <w:t xml:space="preserve">Risk appetite statement, tolerance bands and escalation thresholds to be defined and approved by the Executive Risk Owner and MANCO (placeholder pending first review cycle).</w:t>
      </w:r>
    </w:p>
    <w:p>
      <w:pPr>
        <w:pStyle w:val="ListParagraph"/>
        <w:numPr>
          <w:ilvl w:val="0"/>
          <w:numId w:val="1"/>
        </w:numPr>
        <w:spacing w:after="60"/>
      </w:pPr>
      <w:r>
        <w:t xml:space="preserve">Authorised residual-risk acceptance levels: Low/Medium – Process Owner; High – Executive Risk Owner; Critical – MANCO.</w:t>
      </w:r>
    </w:p>
    <w:p>
      <w:pPr>
        <w:pStyle w:val="Heading3"/>
        <w:spacing w:after="100" w:before="180"/>
      </w:pPr>
      <w:r>
        <w:t xml:space="preserve">2.2 Review Calendar and Document Control</w:t>
      </w:r>
    </w:p>
    <w:p>
      <w:pPr>
        <w:pStyle w:val="ListParagraph"/>
        <w:numPr>
          <w:ilvl w:val="0"/>
          <w:numId w:val="1"/>
        </w:numPr>
        <w:spacing w:after="60"/>
      </w:pPr>
      <w:r>
        <w:t xml:space="preserve">Monthly risk register review (see Section 5).</w:t>
      </w:r>
    </w:p>
    <w:p>
      <w:pPr>
        <w:pStyle w:val="ListParagraph"/>
        <w:numPr>
          <w:ilvl w:val="0"/>
          <w:numId w:val="1"/>
        </w:numPr>
        <w:spacing w:after="60"/>
      </w:pPr>
      <w:r>
        <w:t xml:space="preserve">Event-driven reassessment triggers (see Section 5.2).</w:t>
      </w:r>
    </w:p>
    <w:p>
      <w:pPr>
        <w:pStyle w:val="ListParagraph"/>
        <w:numPr>
          <w:ilvl w:val="0"/>
          <w:numId w:val="1"/>
        </w:numPr>
        <w:spacing w:after="60"/>
      </w:pPr>
      <w:r>
        <w:t xml:space="preserve">Annual policy review and reapproval by MANCO.</w:t>
      </w:r>
    </w:p>
    <w:p>
      <w:pPr>
        <w:pStyle w:val="ListParagraph"/>
        <w:numPr>
          <w:ilvl w:val="0"/>
          <w:numId w:val="1"/>
        </w:numPr>
        <w:spacing w:after="60"/>
      </w:pPr>
      <w:r>
        <w:t xml:space="preserve">Controlled storage: [SharePoint site/library to be confirmed], with access restricted by sensitivity and full version history retained.</w:t>
      </w:r>
    </w:p>
    <w:p>
      <w:pPr>
        <w:pStyle w:val="Heading1"/>
        <w:spacing w:after="160" w:before="320"/>
      </w:pPr>
      <w:r>
        <w:t xml:space="preserve">3. Risk Assessment and Treatment Method</w:t>
      </w:r>
    </w:p>
    <w:p>
      <w:pPr>
        <w:spacing w:after="140"/>
      </w:pPr>
      <w:r>
        <w:t xml:space="preserve">The following method must be applied consistently to every risk identified:</w:t>
      </w:r>
    </w:p>
    <w:p>
      <w:pPr>
        <w:spacing w:after="100"/>
      </w:pPr>
      <w:r>
        <w:t xml:space="preserve">1. Establish context: organisational, technical, legal, contractual and client factors relevant to the risk.</w:t>
      </w:r>
    </w:p>
    <w:p>
      <w:pPr>
        <w:spacing w:after="100"/>
      </w:pPr>
      <w:r>
        <w:t xml:space="preserve">2. Identify scope: affected processes, assets, data, services, suppliers and dependencies (drawing on the #438 asset register).</w:t>
      </w:r>
    </w:p>
    <w:p>
      <w:pPr>
        <w:spacing w:after="100"/>
      </w:pPr>
      <w:r>
        <w:t xml:space="preserve">3. Identify threats, vulnerabilities, failure scenarios and business consequences.</w:t>
      </w:r>
    </w:p>
    <w:p>
      <w:pPr>
        <w:spacing w:after="100"/>
      </w:pPr>
      <w:r>
        <w:t xml:space="preserve">4. Assess likelihood and impact using the approved criteria (Section 4).</w:t>
      </w:r>
    </w:p>
    <w:p>
      <w:pPr>
        <w:spacing w:after="100"/>
      </w:pPr>
      <w:r>
        <w:t xml:space="preserve">5. Record inherent risk — the rating before any controls are considered.</w:t>
      </w:r>
    </w:p>
    <w:p>
      <w:pPr>
        <w:spacing w:after="100"/>
      </w:pPr>
      <w:r>
        <w:t xml:space="preserve">6. Identify existing controls, their owners, evidence of operation, and assess operating effectiveness.</w:t>
      </w:r>
    </w:p>
    <w:p>
      <w:pPr>
        <w:spacing w:after="100"/>
      </w:pPr>
      <w:r>
        <w:t xml:space="preserve">7. Calculate and record residual risk after existing controls.</w:t>
      </w:r>
    </w:p>
    <w:p>
      <w:pPr>
        <w:spacing w:after="100"/>
      </w:pPr>
      <w:r>
        <w:t xml:space="preserve">8. Compare residual risk against approved appetite and acceptance criteria.</w:t>
      </w:r>
    </w:p>
    <w:p>
      <w:pPr>
        <w:spacing w:after="100"/>
      </w:pPr>
      <w:r>
        <w:t xml:space="preserve">9. Select a treatment option: avoid, mitigate, transfer/share, or accept.</w:t>
      </w:r>
    </w:p>
    <w:p>
      <w:pPr>
        <w:spacing w:after="100"/>
      </w:pPr>
      <w:r>
        <w:t xml:space="preserve">10. Define treatment actions, owners, target dates, resources, evidence requirements and expected residual risk once complete.</w:t>
      </w:r>
    </w:p>
    <w:p>
      <w:pPr>
        <w:spacing w:after="100"/>
      </w:pPr>
      <w:r>
        <w:t xml:space="preserve">11. Obtain authorised approval for the treatment plan or, where applicable, formal risk acceptance.</w:t>
      </w:r>
    </w:p>
    <w:p>
      <w:pPr>
        <w:spacing w:after="100"/>
      </w:pPr>
      <w:r>
        <w:t xml:space="preserve">12. Monitor, review, reassess and close the risk over time, retaining evidence at each stage.</w:t>
      </w:r>
    </w:p>
    <w:p>
      <w:pPr>
        <w:pStyle w:val="Heading1"/>
        <w:spacing w:after="160" w:before="320"/>
      </w:pPr>
      <w:r>
        <w:t xml:space="preserve">4. Likelihood, Impact and Risk Rating Criteria</w:t>
      </w:r>
    </w:p>
    <w:p>
      <w:pPr>
        <w:spacing w:after="140"/>
      </w:pPr>
      <w:r>
        <w:t xml:space="preserve">The criteria below are a starting baseline for approval at the first MANCO review; they must be formally ratified before being applied to the baseline assessment.</w:t>
      </w:r>
    </w:p>
    <w:p>
      <w:pPr>
        <w:pStyle w:val="Heading3"/>
        <w:spacing w:after="100" w:before="180"/>
      </w:pPr>
      <w:r>
        <w:t xml:space="preserve">4.1 Likelihood</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800"/>
        <w:gridCol w:w="2500"/>
        <w:gridCol w:w="5050"/>
      </w:tblGrid>
      <w:tr>
        <w:tc>
          <w:tcPr>
            <w:tcW w:type="dxa" w:w="1800"/>
            <w:shd w:fill="1F3864" w:color="auto" w:val="clear"/>
            <w:tcMar>
              <w:top w:type="dxa" w:w="80"/>
              <w:left w:type="dxa" w:w="100"/>
              <w:bottom w:type="dxa" w:w="80"/>
              <w:right w:type="dxa" w:w="100"/>
            </w:tcMar>
          </w:tcPr>
          <w:p>
            <w:r>
              <w:rPr>
                <w:b/>
                <w:bCs/>
                <w:color w:val="FFFFFF"/>
                <w:sz w:val="20"/>
                <w:szCs w:val="20"/>
              </w:rPr>
              <w:t xml:space="preserve">Rating</w:t>
            </w:r>
          </w:p>
        </w:tc>
        <w:tc>
          <w:tcPr>
            <w:tcW w:type="dxa" w:w="2500"/>
            <w:shd w:fill="1F3864" w:color="auto" w:val="clear"/>
            <w:tcMar>
              <w:top w:type="dxa" w:w="80"/>
              <w:left w:type="dxa" w:w="100"/>
              <w:bottom w:type="dxa" w:w="80"/>
              <w:right w:type="dxa" w:w="100"/>
            </w:tcMar>
          </w:tcPr>
          <w:p>
            <w:r>
              <w:rPr>
                <w:b/>
                <w:bCs/>
                <w:color w:val="FFFFFF"/>
                <w:sz w:val="20"/>
                <w:szCs w:val="20"/>
              </w:rPr>
              <w:t xml:space="preserve">Descriptor</w:t>
            </w:r>
          </w:p>
        </w:tc>
        <w:tc>
          <w:tcPr>
            <w:tcW w:type="dxa" w:w="5050"/>
            <w:shd w:fill="1F3864" w:color="auto" w:val="clear"/>
            <w:tcMar>
              <w:top w:type="dxa" w:w="80"/>
              <w:left w:type="dxa" w:w="100"/>
              <w:bottom w:type="dxa" w:w="80"/>
              <w:right w:type="dxa" w:w="100"/>
            </w:tcMar>
          </w:tcPr>
          <w:p>
            <w:r>
              <w:rPr>
                <w:b/>
                <w:bCs/>
                <w:color w:val="FFFFFF"/>
                <w:sz w:val="20"/>
                <w:szCs w:val="20"/>
              </w:rPr>
              <w:t xml:space="preserve">Guidance</w:t>
            </w:r>
          </w:p>
        </w:tc>
      </w:tr>
      <w:tr>
        <w:tc>
          <w:tcPr>
            <w:tcW w:type="dxa" w:w="1800"/>
            <w:tcMar>
              <w:top w:type="dxa" w:w="80"/>
              <w:left w:type="dxa" w:w="100"/>
              <w:bottom w:type="dxa" w:w="80"/>
              <w:right w:type="dxa" w:w="100"/>
            </w:tcMar>
          </w:tcPr>
          <w:p>
            <w:r>
              <w:rPr>
                <w:b w:val="false"/>
                <w:bCs w:val="false"/>
                <w:color w:val="000000"/>
                <w:sz w:val="20"/>
                <w:szCs w:val="20"/>
              </w:rPr>
              <w:t xml:space="preserve">1 – Rare</w:t>
            </w:r>
          </w:p>
        </w:tc>
        <w:tc>
          <w:tcPr>
            <w:tcW w:type="dxa" w:w="2500"/>
            <w:tcMar>
              <w:top w:type="dxa" w:w="80"/>
              <w:left w:type="dxa" w:w="100"/>
              <w:bottom w:type="dxa" w:w="80"/>
              <w:right w:type="dxa" w:w="100"/>
            </w:tcMar>
          </w:tcPr>
          <w:p>
            <w:r>
              <w:rPr>
                <w:b w:val="false"/>
                <w:bCs w:val="false"/>
                <w:color w:val="000000"/>
                <w:sz w:val="20"/>
                <w:szCs w:val="20"/>
              </w:rPr>
              <w:t xml:space="preserve">Not expected to occur</w:t>
            </w:r>
          </w:p>
        </w:tc>
        <w:tc>
          <w:tcPr>
            <w:tcW w:type="dxa" w:w="5050"/>
            <w:tcMar>
              <w:top w:type="dxa" w:w="80"/>
              <w:left w:type="dxa" w:w="100"/>
              <w:bottom w:type="dxa" w:w="80"/>
              <w:right w:type="dxa" w:w="100"/>
            </w:tcMar>
          </w:tcPr>
          <w:p>
            <w:r>
              <w:rPr>
                <w:b w:val="false"/>
                <w:bCs w:val="false"/>
                <w:color w:val="000000"/>
                <w:sz w:val="20"/>
                <w:szCs w:val="20"/>
              </w:rPr>
              <w:t xml:space="preserve">No history of occurrence; strong preventative controls.</w:t>
            </w:r>
          </w:p>
        </w:tc>
      </w:tr>
      <w:tr>
        <w:tc>
          <w:tcPr>
            <w:tcW w:type="dxa" w:w="1800"/>
            <w:tcMar>
              <w:top w:type="dxa" w:w="80"/>
              <w:left w:type="dxa" w:w="100"/>
              <w:bottom w:type="dxa" w:w="80"/>
              <w:right w:type="dxa" w:w="100"/>
            </w:tcMar>
          </w:tcPr>
          <w:p>
            <w:r>
              <w:rPr>
                <w:b w:val="false"/>
                <w:bCs w:val="false"/>
                <w:color w:val="000000"/>
                <w:sz w:val="20"/>
                <w:szCs w:val="20"/>
              </w:rPr>
              <w:t xml:space="preserve">2 – Unlikely</w:t>
            </w:r>
          </w:p>
        </w:tc>
        <w:tc>
          <w:tcPr>
            <w:tcW w:type="dxa" w:w="2500"/>
            <w:tcMar>
              <w:top w:type="dxa" w:w="80"/>
              <w:left w:type="dxa" w:w="100"/>
              <w:bottom w:type="dxa" w:w="80"/>
              <w:right w:type="dxa" w:w="100"/>
            </w:tcMar>
          </w:tcPr>
          <w:p>
            <w:r>
              <w:rPr>
                <w:b w:val="false"/>
                <w:bCs w:val="false"/>
                <w:color w:val="000000"/>
                <w:sz w:val="20"/>
                <w:szCs w:val="20"/>
              </w:rPr>
              <w:t xml:space="preserve">Could occur, but not expected</w:t>
            </w:r>
          </w:p>
        </w:tc>
        <w:tc>
          <w:tcPr>
            <w:tcW w:type="dxa" w:w="5050"/>
            <w:tcMar>
              <w:top w:type="dxa" w:w="80"/>
              <w:left w:type="dxa" w:w="100"/>
              <w:bottom w:type="dxa" w:w="80"/>
              <w:right w:type="dxa" w:w="100"/>
            </w:tcMar>
          </w:tcPr>
          <w:p>
            <w:r>
              <w:rPr>
                <w:b w:val="false"/>
                <w:bCs w:val="false"/>
                <w:color w:val="000000"/>
                <w:sz w:val="20"/>
                <w:szCs w:val="20"/>
              </w:rPr>
              <w:t xml:space="preserve">Isolated occurrence possible under unusual conditions.</w:t>
            </w:r>
          </w:p>
        </w:tc>
      </w:tr>
      <w:tr>
        <w:tc>
          <w:tcPr>
            <w:tcW w:type="dxa" w:w="1800"/>
            <w:tcMar>
              <w:top w:type="dxa" w:w="80"/>
              <w:left w:type="dxa" w:w="100"/>
              <w:bottom w:type="dxa" w:w="80"/>
              <w:right w:type="dxa" w:w="100"/>
            </w:tcMar>
          </w:tcPr>
          <w:p>
            <w:r>
              <w:rPr>
                <w:b w:val="false"/>
                <w:bCs w:val="false"/>
                <w:color w:val="000000"/>
                <w:sz w:val="20"/>
                <w:szCs w:val="20"/>
              </w:rPr>
              <w:t xml:space="preserve">3 – Possible</w:t>
            </w:r>
          </w:p>
        </w:tc>
        <w:tc>
          <w:tcPr>
            <w:tcW w:type="dxa" w:w="2500"/>
            <w:tcMar>
              <w:top w:type="dxa" w:w="80"/>
              <w:left w:type="dxa" w:w="100"/>
              <w:bottom w:type="dxa" w:w="80"/>
              <w:right w:type="dxa" w:w="100"/>
            </w:tcMar>
          </w:tcPr>
          <w:p>
            <w:r>
              <w:rPr>
                <w:b w:val="false"/>
                <w:bCs w:val="false"/>
                <w:color w:val="000000"/>
                <w:sz w:val="20"/>
                <w:szCs w:val="20"/>
              </w:rPr>
              <w:t xml:space="preserve">May occur at some point</w:t>
            </w:r>
          </w:p>
        </w:tc>
        <w:tc>
          <w:tcPr>
            <w:tcW w:type="dxa" w:w="5050"/>
            <w:tcMar>
              <w:top w:type="dxa" w:w="80"/>
              <w:left w:type="dxa" w:w="100"/>
              <w:bottom w:type="dxa" w:w="80"/>
              <w:right w:type="dxa" w:w="100"/>
            </w:tcMar>
          </w:tcPr>
          <w:p>
            <w:r>
              <w:rPr>
                <w:b w:val="false"/>
                <w:bCs w:val="false"/>
                <w:color w:val="000000"/>
                <w:sz w:val="20"/>
                <w:szCs w:val="20"/>
              </w:rPr>
              <w:t xml:space="preserve">Has occurred elsewhere in similar environments.</w:t>
            </w:r>
          </w:p>
        </w:tc>
      </w:tr>
      <w:tr>
        <w:tc>
          <w:tcPr>
            <w:tcW w:type="dxa" w:w="1800"/>
            <w:tcMar>
              <w:top w:type="dxa" w:w="80"/>
              <w:left w:type="dxa" w:w="100"/>
              <w:bottom w:type="dxa" w:w="80"/>
              <w:right w:type="dxa" w:w="100"/>
            </w:tcMar>
          </w:tcPr>
          <w:p>
            <w:r>
              <w:rPr>
                <w:b w:val="false"/>
                <w:bCs w:val="false"/>
                <w:color w:val="000000"/>
                <w:sz w:val="20"/>
                <w:szCs w:val="20"/>
              </w:rPr>
              <w:t xml:space="preserve">4 – Likely</w:t>
            </w:r>
          </w:p>
        </w:tc>
        <w:tc>
          <w:tcPr>
            <w:tcW w:type="dxa" w:w="2500"/>
            <w:tcMar>
              <w:top w:type="dxa" w:w="80"/>
              <w:left w:type="dxa" w:w="100"/>
              <w:bottom w:type="dxa" w:w="80"/>
              <w:right w:type="dxa" w:w="100"/>
            </w:tcMar>
          </w:tcPr>
          <w:p>
            <w:r>
              <w:rPr>
                <w:b w:val="false"/>
                <w:bCs w:val="false"/>
                <w:color w:val="000000"/>
                <w:sz w:val="20"/>
                <w:szCs w:val="20"/>
              </w:rPr>
              <w:t xml:space="preserve">Expected to occur</w:t>
            </w:r>
          </w:p>
        </w:tc>
        <w:tc>
          <w:tcPr>
            <w:tcW w:type="dxa" w:w="5050"/>
            <w:tcMar>
              <w:top w:type="dxa" w:w="80"/>
              <w:left w:type="dxa" w:w="100"/>
              <w:bottom w:type="dxa" w:w="80"/>
              <w:right w:type="dxa" w:w="100"/>
            </w:tcMar>
          </w:tcPr>
          <w:p>
            <w:r>
              <w:rPr>
                <w:b w:val="false"/>
                <w:bCs w:val="false"/>
                <w:color w:val="000000"/>
                <w:sz w:val="20"/>
                <w:szCs w:val="20"/>
              </w:rPr>
              <w:t xml:space="preserve">History of occurrence or known active threat/weakness.</w:t>
            </w:r>
          </w:p>
        </w:tc>
      </w:tr>
      <w:tr>
        <w:tc>
          <w:tcPr>
            <w:tcW w:type="dxa" w:w="1800"/>
            <w:tcMar>
              <w:top w:type="dxa" w:w="80"/>
              <w:left w:type="dxa" w:w="100"/>
              <w:bottom w:type="dxa" w:w="80"/>
              <w:right w:type="dxa" w:w="100"/>
            </w:tcMar>
          </w:tcPr>
          <w:p>
            <w:r>
              <w:rPr>
                <w:b w:val="false"/>
                <w:bCs w:val="false"/>
                <w:color w:val="000000"/>
                <w:sz w:val="20"/>
                <w:szCs w:val="20"/>
              </w:rPr>
              <w:t xml:space="preserve">5 – Almost certain</w:t>
            </w:r>
          </w:p>
        </w:tc>
        <w:tc>
          <w:tcPr>
            <w:tcW w:type="dxa" w:w="2500"/>
            <w:tcMar>
              <w:top w:type="dxa" w:w="80"/>
              <w:left w:type="dxa" w:w="100"/>
              <w:bottom w:type="dxa" w:w="80"/>
              <w:right w:type="dxa" w:w="100"/>
            </w:tcMar>
          </w:tcPr>
          <w:p>
            <w:r>
              <w:rPr>
                <w:b w:val="false"/>
                <w:bCs w:val="false"/>
                <w:color w:val="000000"/>
                <w:sz w:val="20"/>
                <w:szCs w:val="20"/>
              </w:rPr>
              <w:t xml:space="preserve">Expected to occur frequently</w:t>
            </w:r>
          </w:p>
        </w:tc>
        <w:tc>
          <w:tcPr>
            <w:tcW w:type="dxa" w:w="5050"/>
            <w:tcMar>
              <w:top w:type="dxa" w:w="80"/>
              <w:left w:type="dxa" w:w="100"/>
              <w:bottom w:type="dxa" w:w="80"/>
              <w:right w:type="dxa" w:w="100"/>
            </w:tcMar>
          </w:tcPr>
          <w:p>
            <w:r>
              <w:rPr>
                <w:b w:val="false"/>
                <w:bCs w:val="false"/>
                <w:color w:val="000000"/>
                <w:sz w:val="20"/>
                <w:szCs w:val="20"/>
              </w:rPr>
              <w:t xml:space="preserve">Regularly occurs or is currently occurring.</w:t>
            </w:r>
          </w:p>
        </w:tc>
      </w:tr>
    </w:tbl>
    <w:p>
      <w:pPr>
        <w:spacing w:after="160"/>
      </w:pPr>
    </w:p>
    <w:p>
      <w:pPr>
        <w:pStyle w:val="Heading3"/>
        <w:spacing w:after="100" w:before="180"/>
      </w:pPr>
      <w:r>
        <w:t xml:space="preserve">4.2 Impact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5550"/>
      </w:tblGrid>
      <w:tr>
        <w:tc>
          <w:tcPr>
            <w:tcW w:type="dxa" w:w="1800"/>
            <w:shd w:fill="1F3864" w:color="auto" w:val="clear"/>
            <w:tcMar>
              <w:top w:type="dxa" w:w="80"/>
              <w:left w:type="dxa" w:w="100"/>
              <w:bottom w:type="dxa" w:w="80"/>
              <w:right w:type="dxa" w:w="100"/>
            </w:tcMar>
          </w:tcPr>
          <w:p>
            <w:r>
              <w:rPr>
                <w:b/>
                <w:bCs/>
                <w:color w:val="FFFFFF"/>
                <w:sz w:val="20"/>
                <w:szCs w:val="20"/>
              </w:rPr>
              <w:t xml:space="preserve">Rating</w:t>
            </w:r>
          </w:p>
        </w:tc>
        <w:tc>
          <w:tcPr>
            <w:tcW w:type="dxa" w:w="2000"/>
            <w:shd w:fill="1F3864" w:color="auto" w:val="clear"/>
            <w:tcMar>
              <w:top w:type="dxa" w:w="80"/>
              <w:left w:type="dxa" w:w="100"/>
              <w:bottom w:type="dxa" w:w="80"/>
              <w:right w:type="dxa" w:w="100"/>
            </w:tcMar>
          </w:tcPr>
          <w:p>
            <w:r>
              <w:rPr>
                <w:b/>
                <w:bCs/>
                <w:color w:val="FFFFFF"/>
                <w:sz w:val="20"/>
                <w:szCs w:val="20"/>
              </w:rPr>
              <w:t xml:space="preserve">Descriptor</w:t>
            </w:r>
          </w:p>
        </w:tc>
        <w:tc>
          <w:tcPr>
            <w:tcW w:type="dxa" w:w="5550"/>
            <w:shd w:fill="1F3864" w:color="auto" w:val="clear"/>
            <w:tcMar>
              <w:top w:type="dxa" w:w="80"/>
              <w:left w:type="dxa" w:w="100"/>
              <w:bottom w:type="dxa" w:w="80"/>
              <w:right w:type="dxa" w:w="100"/>
            </w:tcMar>
          </w:tcPr>
          <w:p>
            <w:r>
              <w:rPr>
                <w:b/>
                <w:bCs/>
                <w:color w:val="FFFFFF"/>
                <w:sz w:val="20"/>
                <w:szCs w:val="20"/>
              </w:rPr>
              <w:t xml:space="preserve">Guidance (CIA, legal, client, financial, reputational)</w:t>
            </w:r>
          </w:p>
        </w:tc>
      </w:tr>
      <w:tr>
        <w:tc>
          <w:tcPr>
            <w:tcW w:type="dxa" w:w="1800"/>
            <w:tcMar>
              <w:top w:type="dxa" w:w="80"/>
              <w:left w:type="dxa" w:w="100"/>
              <w:bottom w:type="dxa" w:w="80"/>
              <w:right w:type="dxa" w:w="100"/>
            </w:tcMar>
          </w:tcPr>
          <w:p>
            <w:r>
              <w:rPr>
                <w:b w:val="false"/>
                <w:bCs w:val="false"/>
                <w:color w:val="000000"/>
                <w:sz w:val="20"/>
                <w:szCs w:val="20"/>
              </w:rPr>
              <w:t xml:space="preserve">1 – Negligible</w:t>
            </w:r>
          </w:p>
        </w:tc>
        <w:tc>
          <w:tcPr>
            <w:tcW w:type="dxa" w:w="2000"/>
            <w:tcMar>
              <w:top w:type="dxa" w:w="80"/>
              <w:left w:type="dxa" w:w="100"/>
              <w:bottom w:type="dxa" w:w="80"/>
              <w:right w:type="dxa" w:w="100"/>
            </w:tcMar>
          </w:tcPr>
          <w:p>
            <w:r>
              <w:rPr>
                <w:b w:val="false"/>
                <w:bCs w:val="false"/>
                <w:color w:val="000000"/>
                <w:sz w:val="20"/>
                <w:szCs w:val="20"/>
              </w:rPr>
              <w:t xml:space="preserve">Minimal impact</w:t>
            </w:r>
          </w:p>
        </w:tc>
        <w:tc>
          <w:tcPr>
            <w:tcW w:type="dxa" w:w="5550"/>
            <w:tcMar>
              <w:top w:type="dxa" w:w="80"/>
              <w:left w:type="dxa" w:w="100"/>
              <w:bottom w:type="dxa" w:w="80"/>
              <w:right w:type="dxa" w:w="100"/>
            </w:tcMar>
          </w:tcPr>
          <w:p>
            <w:r>
              <w:rPr>
                <w:b w:val="false"/>
                <w:bCs w:val="false"/>
                <w:color w:val="000000"/>
                <w:sz w:val="20"/>
                <w:szCs w:val="20"/>
              </w:rPr>
              <w:t xml:space="preserve">No material effect on confidentiality, integrity, availability, clients or finances.</w:t>
            </w:r>
          </w:p>
        </w:tc>
      </w:tr>
      <w:tr>
        <w:tc>
          <w:tcPr>
            <w:tcW w:type="dxa" w:w="1800"/>
            <w:tcMar>
              <w:top w:type="dxa" w:w="80"/>
              <w:left w:type="dxa" w:w="100"/>
              <w:bottom w:type="dxa" w:w="80"/>
              <w:right w:type="dxa" w:w="100"/>
            </w:tcMar>
          </w:tcPr>
          <w:p>
            <w:r>
              <w:rPr>
                <w:b w:val="false"/>
                <w:bCs w:val="false"/>
                <w:color w:val="000000"/>
                <w:sz w:val="20"/>
                <w:szCs w:val="20"/>
              </w:rPr>
              <w:t xml:space="preserve">2 – Minor</w:t>
            </w:r>
          </w:p>
        </w:tc>
        <w:tc>
          <w:tcPr>
            <w:tcW w:type="dxa" w:w="2000"/>
            <w:tcMar>
              <w:top w:type="dxa" w:w="80"/>
              <w:left w:type="dxa" w:w="100"/>
              <w:bottom w:type="dxa" w:w="80"/>
              <w:right w:type="dxa" w:w="100"/>
            </w:tcMar>
          </w:tcPr>
          <w:p>
            <w:r>
              <w:rPr>
                <w:b w:val="false"/>
                <w:bCs w:val="false"/>
                <w:color w:val="000000"/>
                <w:sz w:val="20"/>
                <w:szCs w:val="20"/>
              </w:rPr>
              <w:t xml:space="preserve">Limited impact</w:t>
            </w:r>
          </w:p>
        </w:tc>
        <w:tc>
          <w:tcPr>
            <w:tcW w:type="dxa" w:w="5550"/>
            <w:tcMar>
              <w:top w:type="dxa" w:w="80"/>
              <w:left w:type="dxa" w:w="100"/>
              <w:bottom w:type="dxa" w:w="80"/>
              <w:right w:type="dxa" w:w="100"/>
            </w:tcMar>
          </w:tcPr>
          <w:p>
            <w:r>
              <w:rPr>
                <w:b w:val="false"/>
                <w:bCs w:val="false"/>
                <w:color w:val="000000"/>
                <w:sz w:val="20"/>
                <w:szCs w:val="20"/>
              </w:rPr>
              <w:t xml:space="preserve">Minor, contained, no client/regulatory exposure.</w:t>
            </w:r>
          </w:p>
        </w:tc>
      </w:tr>
      <w:tr>
        <w:tc>
          <w:tcPr>
            <w:tcW w:type="dxa" w:w="1800"/>
            <w:tcMar>
              <w:top w:type="dxa" w:w="80"/>
              <w:left w:type="dxa" w:w="100"/>
              <w:bottom w:type="dxa" w:w="80"/>
              <w:right w:type="dxa" w:w="100"/>
            </w:tcMar>
          </w:tcPr>
          <w:p>
            <w:r>
              <w:rPr>
                <w:b w:val="false"/>
                <w:bCs w:val="false"/>
                <w:color w:val="000000"/>
                <w:sz w:val="20"/>
                <w:szCs w:val="20"/>
              </w:rPr>
              <w:t xml:space="preserve">3 – Moderate</w:t>
            </w:r>
          </w:p>
        </w:tc>
        <w:tc>
          <w:tcPr>
            <w:tcW w:type="dxa" w:w="2000"/>
            <w:tcMar>
              <w:top w:type="dxa" w:w="80"/>
              <w:left w:type="dxa" w:w="100"/>
              <w:bottom w:type="dxa" w:w="80"/>
              <w:right w:type="dxa" w:w="100"/>
            </w:tcMar>
          </w:tcPr>
          <w:p>
            <w:r>
              <w:rPr>
                <w:b w:val="false"/>
                <w:bCs w:val="false"/>
                <w:color w:val="000000"/>
                <w:sz w:val="20"/>
                <w:szCs w:val="20"/>
              </w:rPr>
              <w:t xml:space="preserve">Noticeable impact</w:t>
            </w:r>
          </w:p>
        </w:tc>
        <w:tc>
          <w:tcPr>
            <w:tcW w:type="dxa" w:w="5550"/>
            <w:tcMar>
              <w:top w:type="dxa" w:w="80"/>
              <w:left w:type="dxa" w:w="100"/>
              <w:bottom w:type="dxa" w:w="80"/>
              <w:right w:type="dxa" w:w="100"/>
            </w:tcMar>
          </w:tcPr>
          <w:p>
            <w:r>
              <w:rPr>
                <w:b w:val="false"/>
                <w:bCs w:val="false"/>
                <w:color w:val="000000"/>
                <w:sz w:val="20"/>
                <w:szCs w:val="20"/>
              </w:rPr>
              <w:t xml:space="preserve">Localised outage or data issue; limited client/regulatory exposure; recoverable.</w:t>
            </w:r>
          </w:p>
        </w:tc>
      </w:tr>
      <w:tr>
        <w:tc>
          <w:tcPr>
            <w:tcW w:type="dxa" w:w="1800"/>
            <w:tcMar>
              <w:top w:type="dxa" w:w="80"/>
              <w:left w:type="dxa" w:w="100"/>
              <w:bottom w:type="dxa" w:w="80"/>
              <w:right w:type="dxa" w:w="100"/>
            </w:tcMar>
          </w:tcPr>
          <w:p>
            <w:r>
              <w:rPr>
                <w:b w:val="false"/>
                <w:bCs w:val="false"/>
                <w:color w:val="000000"/>
                <w:sz w:val="20"/>
                <w:szCs w:val="20"/>
              </w:rPr>
              <w:t xml:space="preserve">4 – Major</w:t>
            </w:r>
          </w:p>
        </w:tc>
        <w:tc>
          <w:tcPr>
            <w:tcW w:type="dxa" w:w="2000"/>
            <w:tcMar>
              <w:top w:type="dxa" w:w="80"/>
              <w:left w:type="dxa" w:w="100"/>
              <w:bottom w:type="dxa" w:w="80"/>
              <w:right w:type="dxa" w:w="100"/>
            </w:tcMar>
          </w:tcPr>
          <w:p>
            <w:r>
              <w:rPr>
                <w:b w:val="false"/>
                <w:bCs w:val="false"/>
                <w:color w:val="000000"/>
                <w:sz w:val="20"/>
                <w:szCs w:val="20"/>
              </w:rPr>
              <w:t xml:space="preserve">Significant impact</w:t>
            </w:r>
          </w:p>
        </w:tc>
        <w:tc>
          <w:tcPr>
            <w:tcW w:type="dxa" w:w="5550"/>
            <w:tcMar>
              <w:top w:type="dxa" w:w="80"/>
              <w:left w:type="dxa" w:w="100"/>
              <w:bottom w:type="dxa" w:w="80"/>
              <w:right w:type="dxa" w:w="100"/>
            </w:tcMar>
          </w:tcPr>
          <w:p>
            <w:r>
              <w:rPr>
                <w:b w:val="false"/>
                <w:bCs w:val="false"/>
                <w:color w:val="000000"/>
                <w:sz w:val="20"/>
                <w:szCs w:val="20"/>
              </w:rPr>
              <w:t xml:space="preserve">Material client, legal (incl. POPIA), financial or reputational exposure.</w:t>
            </w:r>
          </w:p>
        </w:tc>
      </w:tr>
      <w:tr>
        <w:tc>
          <w:tcPr>
            <w:tcW w:type="dxa" w:w="1800"/>
            <w:tcMar>
              <w:top w:type="dxa" w:w="80"/>
              <w:left w:type="dxa" w:w="100"/>
              <w:bottom w:type="dxa" w:w="80"/>
              <w:right w:type="dxa" w:w="100"/>
            </w:tcMar>
          </w:tcPr>
          <w:p>
            <w:r>
              <w:rPr>
                <w:b w:val="false"/>
                <w:bCs w:val="false"/>
                <w:color w:val="000000"/>
                <w:sz w:val="20"/>
                <w:szCs w:val="20"/>
              </w:rPr>
              <w:t xml:space="preserve">5 – Severe</w:t>
            </w:r>
          </w:p>
        </w:tc>
        <w:tc>
          <w:tcPr>
            <w:tcW w:type="dxa" w:w="2000"/>
            <w:tcMar>
              <w:top w:type="dxa" w:w="80"/>
              <w:left w:type="dxa" w:w="100"/>
              <w:bottom w:type="dxa" w:w="80"/>
              <w:right w:type="dxa" w:w="100"/>
            </w:tcMar>
          </w:tcPr>
          <w:p>
            <w:r>
              <w:rPr>
                <w:b w:val="false"/>
                <w:bCs w:val="false"/>
                <w:color w:val="000000"/>
                <w:sz w:val="20"/>
                <w:szCs w:val="20"/>
              </w:rPr>
              <w:t xml:space="preserve">Critical impact</w:t>
            </w:r>
          </w:p>
        </w:tc>
        <w:tc>
          <w:tcPr>
            <w:tcW w:type="dxa" w:w="5550"/>
            <w:tcMar>
              <w:top w:type="dxa" w:w="80"/>
              <w:left w:type="dxa" w:w="100"/>
              <w:bottom w:type="dxa" w:w="80"/>
              <w:right w:type="dxa" w:w="100"/>
            </w:tcMar>
          </w:tcPr>
          <w:p>
            <w:r>
              <w:rPr>
                <w:b w:val="false"/>
                <w:bCs w:val="false"/>
                <w:color w:val="000000"/>
                <w:sz w:val="20"/>
                <w:szCs w:val="20"/>
              </w:rPr>
              <w:t xml:space="preserve">Widespread breach, outage or non-compliance with severe client/legal/financial/reputational consequence.</w:t>
            </w:r>
          </w:p>
        </w:tc>
      </w:tr>
    </w:tbl>
    <w:p>
      <w:pPr>
        <w:spacing w:after="160"/>
      </w:pPr>
    </w:p>
    <w:p>
      <w:pPr>
        <w:pStyle w:val="Heading3"/>
        <w:spacing w:after="100" w:before="180"/>
      </w:pPr>
      <w:r>
        <w:t xml:space="preserve">4.3 Risk Rating (Likelihood × Impact)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5350"/>
      </w:tblGrid>
      <w:tr>
        <w:tc>
          <w:tcPr>
            <w:tcW w:type="dxa" w:w="2200"/>
            <w:shd w:fill="1F3864" w:color="auto" w:val="clear"/>
            <w:tcMar>
              <w:top w:type="dxa" w:w="80"/>
              <w:left w:type="dxa" w:w="100"/>
              <w:bottom w:type="dxa" w:w="80"/>
              <w:right w:type="dxa" w:w="100"/>
            </w:tcMar>
          </w:tcPr>
          <w:p>
            <w:r>
              <w:rPr>
                <w:b/>
                <w:bCs/>
                <w:color w:val="FFFFFF"/>
                <w:sz w:val="20"/>
                <w:szCs w:val="20"/>
              </w:rPr>
              <w:t xml:space="preserve">Score range</w:t>
            </w:r>
          </w:p>
        </w:tc>
        <w:tc>
          <w:tcPr>
            <w:tcW w:type="dxa" w:w="1800"/>
            <w:shd w:fill="1F3864" w:color="auto" w:val="clear"/>
            <w:tcMar>
              <w:top w:type="dxa" w:w="80"/>
              <w:left w:type="dxa" w:w="100"/>
              <w:bottom w:type="dxa" w:w="80"/>
              <w:right w:type="dxa" w:w="100"/>
            </w:tcMar>
          </w:tcPr>
          <w:p>
            <w:r>
              <w:rPr>
                <w:b/>
                <w:bCs/>
                <w:color w:val="FFFFFF"/>
                <w:sz w:val="20"/>
                <w:szCs w:val="20"/>
              </w:rPr>
              <w:t xml:space="preserve">Rating</w:t>
            </w:r>
          </w:p>
        </w:tc>
        <w:tc>
          <w:tcPr>
            <w:tcW w:type="dxa" w:w="5350"/>
            <w:shd w:fill="1F3864" w:color="auto" w:val="clear"/>
            <w:tcMar>
              <w:top w:type="dxa" w:w="80"/>
              <w:left w:type="dxa" w:w="100"/>
              <w:bottom w:type="dxa" w:w="80"/>
              <w:right w:type="dxa" w:w="100"/>
            </w:tcMar>
          </w:tcPr>
          <w:p>
            <w:r>
              <w:rPr>
                <w:b/>
                <w:bCs/>
                <w:color w:val="FFFFFF"/>
                <w:sz w:val="20"/>
                <w:szCs w:val="20"/>
              </w:rPr>
              <w:t xml:space="preserve">Typical response</w:t>
            </w:r>
          </w:p>
        </w:tc>
      </w:tr>
      <w:tr>
        <w:tc>
          <w:tcPr>
            <w:tcW w:type="dxa" w:w="2200"/>
            <w:tcMar>
              <w:top w:type="dxa" w:w="80"/>
              <w:left w:type="dxa" w:w="100"/>
              <w:bottom w:type="dxa" w:w="80"/>
              <w:right w:type="dxa" w:w="100"/>
            </w:tcMar>
          </w:tcPr>
          <w:p>
            <w:r>
              <w:rPr>
                <w:b w:val="false"/>
                <w:bCs w:val="false"/>
                <w:color w:val="000000"/>
                <w:sz w:val="20"/>
                <w:szCs w:val="20"/>
              </w:rPr>
              <w:t xml:space="preserve">1 – 4</w:t>
            </w:r>
          </w:p>
        </w:tc>
        <w:tc>
          <w:tcPr>
            <w:tcW w:type="dxa" w:w="1800"/>
            <w:tcMar>
              <w:top w:type="dxa" w:w="80"/>
              <w:left w:type="dxa" w:w="100"/>
              <w:bottom w:type="dxa" w:w="80"/>
              <w:right w:type="dxa" w:w="100"/>
            </w:tcMar>
          </w:tcPr>
          <w:p>
            <w:r>
              <w:rPr>
                <w:b w:val="false"/>
                <w:bCs w:val="false"/>
                <w:color w:val="000000"/>
                <w:sz w:val="20"/>
                <w:szCs w:val="20"/>
              </w:rPr>
              <w:t xml:space="preserve">Low</w:t>
            </w:r>
          </w:p>
        </w:tc>
        <w:tc>
          <w:tcPr>
            <w:tcW w:type="dxa" w:w="5350"/>
            <w:tcMar>
              <w:top w:type="dxa" w:w="80"/>
              <w:left w:type="dxa" w:w="100"/>
              <w:bottom w:type="dxa" w:w="80"/>
              <w:right w:type="dxa" w:w="100"/>
            </w:tcMar>
          </w:tcPr>
          <w:p>
            <w:r>
              <w:rPr>
                <w:b w:val="false"/>
                <w:bCs w:val="false"/>
                <w:color w:val="000000"/>
                <w:sz w:val="20"/>
                <w:szCs w:val="20"/>
              </w:rPr>
              <w:t xml:space="preserve">Managed through routine controls; monitor.</w:t>
            </w:r>
          </w:p>
        </w:tc>
      </w:tr>
      <w:tr>
        <w:tc>
          <w:tcPr>
            <w:tcW w:type="dxa" w:w="2200"/>
            <w:tcMar>
              <w:top w:type="dxa" w:w="80"/>
              <w:left w:type="dxa" w:w="100"/>
              <w:bottom w:type="dxa" w:w="80"/>
              <w:right w:type="dxa" w:w="100"/>
            </w:tcMar>
          </w:tcPr>
          <w:p>
            <w:r>
              <w:rPr>
                <w:b w:val="false"/>
                <w:bCs w:val="false"/>
                <w:color w:val="000000"/>
                <w:sz w:val="20"/>
                <w:szCs w:val="20"/>
              </w:rPr>
              <w:t xml:space="preserve">5 – 9</w:t>
            </w:r>
          </w:p>
        </w:tc>
        <w:tc>
          <w:tcPr>
            <w:tcW w:type="dxa" w:w="1800"/>
            <w:tcMar>
              <w:top w:type="dxa" w:w="80"/>
              <w:left w:type="dxa" w:w="100"/>
              <w:bottom w:type="dxa" w:w="80"/>
              <w:right w:type="dxa" w:w="100"/>
            </w:tcMar>
          </w:tcPr>
          <w:p>
            <w:r>
              <w:rPr>
                <w:b w:val="false"/>
                <w:bCs w:val="false"/>
                <w:color w:val="000000"/>
                <w:sz w:val="20"/>
                <w:szCs w:val="20"/>
              </w:rPr>
              <w:t xml:space="preserve">Medium</w:t>
            </w:r>
          </w:p>
        </w:tc>
        <w:tc>
          <w:tcPr>
            <w:tcW w:type="dxa" w:w="5350"/>
            <w:tcMar>
              <w:top w:type="dxa" w:w="80"/>
              <w:left w:type="dxa" w:w="100"/>
              <w:bottom w:type="dxa" w:w="80"/>
              <w:right w:type="dxa" w:w="100"/>
            </w:tcMar>
          </w:tcPr>
          <w:p>
            <w:r>
              <w:rPr>
                <w:b w:val="false"/>
                <w:bCs w:val="false"/>
                <w:color w:val="000000"/>
                <w:sz w:val="20"/>
                <w:szCs w:val="20"/>
              </w:rPr>
              <w:t xml:space="preserve">Owner assigned; treatment plan within a defined period.</w:t>
            </w:r>
          </w:p>
        </w:tc>
      </w:tr>
      <w:tr>
        <w:tc>
          <w:tcPr>
            <w:tcW w:type="dxa" w:w="2200"/>
            <w:tcMar>
              <w:top w:type="dxa" w:w="80"/>
              <w:left w:type="dxa" w:w="100"/>
              <w:bottom w:type="dxa" w:w="80"/>
              <w:right w:type="dxa" w:w="100"/>
            </w:tcMar>
          </w:tcPr>
          <w:p>
            <w:r>
              <w:rPr>
                <w:b w:val="false"/>
                <w:bCs w:val="false"/>
                <w:color w:val="000000"/>
                <w:sz w:val="20"/>
                <w:szCs w:val="20"/>
              </w:rPr>
              <w:t xml:space="preserve">10 – 15</w:t>
            </w:r>
          </w:p>
        </w:tc>
        <w:tc>
          <w:tcPr>
            <w:tcW w:type="dxa" w:w="1800"/>
            <w:tcMar>
              <w:top w:type="dxa" w:w="80"/>
              <w:left w:type="dxa" w:w="100"/>
              <w:bottom w:type="dxa" w:w="80"/>
              <w:right w:type="dxa" w:w="100"/>
            </w:tcMar>
          </w:tcPr>
          <w:p>
            <w:r>
              <w:rPr>
                <w:b w:val="false"/>
                <w:bCs w:val="false"/>
                <w:color w:val="000000"/>
                <w:sz w:val="20"/>
                <w:szCs w:val="20"/>
              </w:rPr>
              <w:t xml:space="preserve">High</w:t>
            </w:r>
          </w:p>
        </w:tc>
        <w:tc>
          <w:tcPr>
            <w:tcW w:type="dxa" w:w="5350"/>
            <w:tcMar>
              <w:top w:type="dxa" w:w="80"/>
              <w:left w:type="dxa" w:w="100"/>
              <w:bottom w:type="dxa" w:w="80"/>
              <w:right w:type="dxa" w:w="100"/>
            </w:tcMar>
          </w:tcPr>
          <w:p>
            <w:r>
              <w:rPr>
                <w:b w:val="false"/>
                <w:bCs w:val="false"/>
                <w:color w:val="000000"/>
                <w:sz w:val="20"/>
                <w:szCs w:val="20"/>
              </w:rPr>
              <w:t xml:space="preserve">Escalated to Executive Risk Owner; active treatment tracked monthly.</w:t>
            </w:r>
          </w:p>
        </w:tc>
      </w:tr>
      <w:tr>
        <w:tc>
          <w:tcPr>
            <w:tcW w:type="dxa" w:w="2200"/>
            <w:tcMar>
              <w:top w:type="dxa" w:w="80"/>
              <w:left w:type="dxa" w:w="100"/>
              <w:bottom w:type="dxa" w:w="80"/>
              <w:right w:type="dxa" w:w="100"/>
            </w:tcMar>
          </w:tcPr>
          <w:p>
            <w:r>
              <w:rPr>
                <w:b w:val="false"/>
                <w:bCs w:val="false"/>
                <w:color w:val="000000"/>
                <w:sz w:val="20"/>
                <w:szCs w:val="20"/>
              </w:rPr>
              <w:t xml:space="preserve">16 – 25</w:t>
            </w:r>
          </w:p>
        </w:tc>
        <w:tc>
          <w:tcPr>
            <w:tcW w:type="dxa" w:w="1800"/>
            <w:tcMar>
              <w:top w:type="dxa" w:w="80"/>
              <w:left w:type="dxa" w:w="100"/>
              <w:bottom w:type="dxa" w:w="80"/>
              <w:right w:type="dxa" w:w="100"/>
            </w:tcMar>
          </w:tcPr>
          <w:p>
            <w:r>
              <w:rPr>
                <w:b w:val="false"/>
                <w:bCs w:val="false"/>
                <w:color w:val="000000"/>
                <w:sz w:val="20"/>
                <w:szCs w:val="20"/>
              </w:rPr>
              <w:t xml:space="preserve">Critical</w:t>
            </w:r>
          </w:p>
        </w:tc>
        <w:tc>
          <w:tcPr>
            <w:tcW w:type="dxa" w:w="5350"/>
            <w:tcMar>
              <w:top w:type="dxa" w:w="80"/>
              <w:left w:type="dxa" w:w="100"/>
              <w:bottom w:type="dxa" w:w="80"/>
              <w:right w:type="dxa" w:w="100"/>
            </w:tcMar>
          </w:tcPr>
          <w:p>
            <w:r>
              <w:rPr>
                <w:b w:val="false"/>
                <w:bCs w:val="false"/>
                <w:color w:val="000000"/>
                <w:sz w:val="20"/>
                <w:szCs w:val="20"/>
              </w:rPr>
              <w:t xml:space="preserve">Escalated to MANCO immediately; cannot remain overdue without a documented decision.</w:t>
            </w:r>
          </w:p>
        </w:tc>
      </w:tr>
    </w:tbl>
    <w:p>
      <w:pPr>
        <w:pStyle w:val="Heading1"/>
        <w:spacing w:after="160" w:before="320"/>
      </w:pPr>
      <w:r>
        <w:t xml:space="preserve">5. Monthly and Event-Driven Reviews</w:t>
      </w:r>
    </w:p>
    <w:p>
      <w:pPr>
        <w:pStyle w:val="Heading3"/>
        <w:spacing w:after="100" w:before="180"/>
      </w:pPr>
      <w:r>
        <w:t xml:space="preserve">5.1 Monthly Review</w:t>
      </w:r>
    </w:p>
    <w:p>
      <w:pPr>
        <w:spacing w:after="140"/>
      </w:pPr>
      <w:r>
        <w:t xml:space="preserve">The Process Owner must run and evidence a monthly review that:</w:t>
      </w:r>
    </w:p>
    <w:p>
      <w:pPr>
        <w:pStyle w:val="ListParagraph"/>
        <w:numPr>
          <w:ilvl w:val="0"/>
          <w:numId w:val="1"/>
        </w:numPr>
        <w:spacing w:after="60"/>
      </w:pPr>
      <w:r>
        <w:t xml:space="preserve">Confirms new, changed, closed and overdue risks.</w:t>
      </w:r>
    </w:p>
    <w:p>
      <w:pPr>
        <w:pStyle w:val="ListParagraph"/>
        <w:numPr>
          <w:ilvl w:val="0"/>
          <w:numId w:val="1"/>
        </w:numPr>
        <w:spacing w:after="60"/>
      </w:pPr>
      <w:r>
        <w:t xml:space="preserve">Reviews all High and Critical risks and their treatment progress.</w:t>
      </w:r>
    </w:p>
    <w:p>
      <w:pPr>
        <w:pStyle w:val="ListParagraph"/>
        <w:numPr>
          <w:ilvl w:val="0"/>
          <w:numId w:val="1"/>
        </w:numPr>
        <w:spacing w:after="60"/>
      </w:pPr>
      <w:r>
        <w:t xml:space="preserve">Validates owners, target dates, evidence and residual ratings.</w:t>
      </w:r>
    </w:p>
    <w:p>
      <w:pPr>
        <w:pStyle w:val="ListParagraph"/>
        <w:numPr>
          <w:ilvl w:val="0"/>
          <w:numId w:val="1"/>
        </w:numPr>
        <w:spacing w:after="60"/>
      </w:pPr>
      <w:r>
        <w:t xml:space="preserve">Escalates overdue actions and risks outside appetite.</w:t>
      </w:r>
    </w:p>
    <w:p>
      <w:pPr>
        <w:pStyle w:val="ListParagraph"/>
        <w:numPr>
          <w:ilvl w:val="0"/>
          <w:numId w:val="1"/>
        </w:numPr>
        <w:spacing w:after="60"/>
      </w:pPr>
      <w:r>
        <w:t xml:space="preserve">Identifies emerging technology, supplier, legal, client and threat changes.</w:t>
      </w:r>
    </w:p>
    <w:p>
      <w:pPr>
        <w:pStyle w:val="ListParagraph"/>
        <w:numPr>
          <w:ilvl w:val="0"/>
          <w:numId w:val="1"/>
        </w:numPr>
        <w:spacing w:after="60"/>
      </w:pPr>
      <w:r>
        <w:t xml:space="preserve">Records attendees, decisions, approvals and actions.</w:t>
      </w:r>
    </w:p>
    <w:p>
      <w:pPr>
        <w:pStyle w:val="ListParagraph"/>
        <w:numPr>
          <w:ilvl w:val="0"/>
          <w:numId w:val="1"/>
        </w:numPr>
        <w:spacing w:after="60"/>
      </w:pPr>
      <w:r>
        <w:t xml:space="preserve">Updates the controlled master risk register and preserves version history.</w:t>
      </w:r>
    </w:p>
    <w:p>
      <w:pPr>
        <w:pStyle w:val="Heading3"/>
        <w:spacing w:after="100" w:before="180"/>
      </w:pPr>
      <w:r>
        <w:t xml:space="preserve">5.2 Event-Driven Assessment</w:t>
      </w:r>
    </w:p>
    <w:p>
      <w:pPr>
        <w:spacing w:after="140"/>
      </w:pPr>
      <w:r>
        <w:t xml:space="preserve">Risks must be reassessed immediately following any of the following triggers:</w:t>
      </w:r>
    </w:p>
    <w:p>
      <w:pPr>
        <w:pStyle w:val="ListParagraph"/>
        <w:numPr>
          <w:ilvl w:val="0"/>
          <w:numId w:val="1"/>
        </w:numPr>
        <w:spacing w:after="60"/>
      </w:pPr>
      <w:r>
        <w:t xml:space="preserve">Major system, architecture, supplier or infrastructure change.</w:t>
      </w:r>
    </w:p>
    <w:p>
      <w:pPr>
        <w:pStyle w:val="ListParagraph"/>
        <w:numPr>
          <w:ilvl w:val="0"/>
          <w:numId w:val="1"/>
        </w:numPr>
        <w:spacing w:after="60"/>
      </w:pPr>
      <w:r>
        <w:t xml:space="preserve">New product, client, integration or sensitive-data use.</w:t>
      </w:r>
    </w:p>
    <w:p>
      <w:pPr>
        <w:pStyle w:val="ListParagraph"/>
        <w:numPr>
          <w:ilvl w:val="0"/>
          <w:numId w:val="1"/>
        </w:numPr>
        <w:spacing w:after="60"/>
      </w:pPr>
      <w:r>
        <w:t xml:space="preserve">Security incident, material vulnerability or penetration-test finding.</w:t>
      </w:r>
    </w:p>
    <w:p>
      <w:pPr>
        <w:pStyle w:val="ListParagraph"/>
        <w:numPr>
          <w:ilvl w:val="0"/>
          <w:numId w:val="1"/>
        </w:numPr>
        <w:spacing w:after="60"/>
      </w:pPr>
      <w:r>
        <w:t xml:space="preserve">Significant regulatory, contractual or business change.</w:t>
      </w:r>
    </w:p>
    <w:p>
      <w:pPr>
        <w:pStyle w:val="ListParagraph"/>
        <w:numPr>
          <w:ilvl w:val="0"/>
          <w:numId w:val="1"/>
        </w:numPr>
        <w:spacing w:after="60"/>
      </w:pPr>
      <w:r>
        <w:t xml:space="preserve">Failed control, backup, restore, deployment or disaster-recovery test.</w:t>
      </w:r>
    </w:p>
    <w:p>
      <w:pPr>
        <w:pStyle w:val="ListParagraph"/>
        <w:numPr>
          <w:ilvl w:val="0"/>
          <w:numId w:val="1"/>
        </w:numPr>
        <w:spacing w:after="60"/>
      </w:pPr>
      <w:r>
        <w:t xml:space="preserve">Material change to threat exposure or service criticality.</w:t>
      </w:r>
    </w:p>
    <w:p>
      <w:pPr>
        <w:pStyle w:val="Heading1"/>
        <w:spacing w:after="160" w:before="320"/>
      </w:pPr>
      <w:r>
        <w:t xml:space="preserve">6. MANCO Reporting</w:t>
      </w:r>
    </w:p>
    <w:p>
      <w:pPr>
        <w:spacing w:after="140"/>
      </w:pPr>
      <w:r>
        <w:t xml:space="preserve">The Process Owner provides a concise monthly risk dashboard/report to MANCO containing:</w:t>
      </w:r>
    </w:p>
    <w:p>
      <w:pPr>
        <w:pStyle w:val="ListParagraph"/>
        <w:numPr>
          <w:ilvl w:val="0"/>
          <w:numId w:val="1"/>
        </w:numPr>
        <w:spacing w:after="60"/>
      </w:pPr>
      <w:r>
        <w:t xml:space="preserve">Current High and Critical risks.</w:t>
      </w:r>
    </w:p>
    <w:p>
      <w:pPr>
        <w:pStyle w:val="ListParagraph"/>
        <w:numPr>
          <w:ilvl w:val="0"/>
          <w:numId w:val="1"/>
        </w:numPr>
        <w:spacing w:after="60"/>
      </w:pPr>
      <w:r>
        <w:t xml:space="preserve">Movement since the previous month.</w:t>
      </w:r>
    </w:p>
    <w:p>
      <w:pPr>
        <w:pStyle w:val="ListParagraph"/>
        <w:numPr>
          <w:ilvl w:val="0"/>
          <w:numId w:val="1"/>
        </w:numPr>
        <w:spacing w:after="60"/>
      </w:pPr>
      <w:r>
        <w:t xml:space="preserve">New, closed, accepted and overdue risks.</w:t>
      </w:r>
    </w:p>
    <w:p>
      <w:pPr>
        <w:pStyle w:val="ListParagraph"/>
        <w:numPr>
          <w:ilvl w:val="0"/>
          <w:numId w:val="1"/>
        </w:numPr>
        <w:spacing w:after="60"/>
      </w:pPr>
      <w:r>
        <w:t xml:space="preserve">Top control gaps and dependencies.</w:t>
      </w:r>
    </w:p>
    <w:p>
      <w:pPr>
        <w:pStyle w:val="ListParagraph"/>
        <w:numPr>
          <w:ilvl w:val="0"/>
          <w:numId w:val="1"/>
        </w:numPr>
        <w:spacing w:after="60"/>
      </w:pPr>
      <w:r>
        <w:t xml:space="preserve">Treatment progress and blocked actions.</w:t>
      </w:r>
    </w:p>
    <w:p>
      <w:pPr>
        <w:pStyle w:val="ListParagraph"/>
        <w:numPr>
          <w:ilvl w:val="0"/>
          <w:numId w:val="1"/>
        </w:numPr>
        <w:spacing w:after="60"/>
      </w:pPr>
      <w:r>
        <w:t xml:space="preserve">Risks outside appetite.</w:t>
      </w:r>
    </w:p>
    <w:p>
      <w:pPr>
        <w:pStyle w:val="ListParagraph"/>
        <w:numPr>
          <w:ilvl w:val="0"/>
          <w:numId w:val="1"/>
        </w:numPr>
        <w:spacing w:after="60"/>
      </w:pPr>
      <w:r>
        <w:t xml:space="preserve">Residual risks awaiting acceptance.</w:t>
      </w:r>
    </w:p>
    <w:p>
      <w:pPr>
        <w:pStyle w:val="ListParagraph"/>
        <w:numPr>
          <w:ilvl w:val="0"/>
          <w:numId w:val="1"/>
        </w:numPr>
        <w:spacing w:after="60"/>
      </w:pPr>
      <w:r>
        <w:t xml:space="preserve">Material incidents, vulnerabilities, supplier risks and audit findings.</w:t>
      </w:r>
    </w:p>
    <w:p>
      <w:pPr>
        <w:pStyle w:val="ListParagraph"/>
        <w:numPr>
          <w:ilvl w:val="0"/>
          <w:numId w:val="1"/>
        </w:numPr>
        <w:spacing w:after="60"/>
      </w:pPr>
      <w:r>
        <w:t xml:space="preserve">Decisions, resources and approvals required from MANCO.</w:t>
      </w:r>
    </w:p>
    <w:p>
      <w:pPr>
        <w:spacing w:after="140"/>
      </w:pPr>
      <w:r>
        <w:t xml:space="preserve">The report, meeting record, decisions, approvals and action tracking must be retained in controlled SharePoint storage, with the canonical evidence link added to Redmine #179.</w:t>
      </w:r>
    </w:p>
    <w:p>
      <w:pPr>
        <w:pStyle w:val="Heading1"/>
        <w:spacing w:after="160" w:before="320"/>
      </w:pPr>
      <w:r>
        <w:t xml:space="preserve">7. Master Risk Register — Required Fields</w:t>
      </w:r>
    </w:p>
    <w:p>
      <w:pPr>
        <w:spacing w:after="140"/>
      </w:pPr>
      <w:r>
        <w:t xml:space="preserve">The controlled master risk register (maintained separately as a structured register — see companion Risk Register template) must capture, for every risk:</w:t>
      </w:r>
    </w:p>
    <w:p>
      <w:pPr>
        <w:pStyle w:val="ListParagraph"/>
        <w:numPr>
          <w:ilvl w:val="0"/>
          <w:numId w:val="1"/>
        </w:numPr>
        <w:spacing w:after="60"/>
      </w:pPr>
      <w:r>
        <w:t xml:space="preserve">Unique risk ID and date identified</w:t>
      </w:r>
    </w:p>
    <w:p>
      <w:pPr>
        <w:pStyle w:val="ListParagraph"/>
        <w:numPr>
          <w:ilvl w:val="0"/>
          <w:numId w:val="1"/>
        </w:numPr>
        <w:spacing w:after="60"/>
      </w:pPr>
      <w:r>
        <w:t xml:space="preserve">Risk source, category, project, process, system, asset or supplier</w:t>
      </w:r>
    </w:p>
    <w:p>
      <w:pPr>
        <w:pStyle w:val="ListParagraph"/>
        <w:numPr>
          <w:ilvl w:val="0"/>
          <w:numId w:val="1"/>
        </w:numPr>
        <w:spacing w:after="60"/>
      </w:pPr>
      <w:r>
        <w:t xml:space="preserve">Risk statement in cause–event–impact form</w:t>
      </w:r>
    </w:p>
    <w:p>
      <w:pPr>
        <w:pStyle w:val="ListParagraph"/>
        <w:numPr>
          <w:ilvl w:val="0"/>
          <w:numId w:val="1"/>
        </w:numPr>
        <w:spacing w:after="60"/>
      </w:pPr>
      <w:r>
        <w:t xml:space="preserve">Threat, vulnerability or control weakness</w:t>
      </w:r>
    </w:p>
    <w:p>
      <w:pPr>
        <w:pStyle w:val="ListParagraph"/>
        <w:numPr>
          <w:ilvl w:val="0"/>
          <w:numId w:val="1"/>
        </w:numPr>
        <w:spacing w:after="60"/>
      </w:pPr>
      <w:r>
        <w:t xml:space="preserve">Confidentiality, integrity and availability impact</w:t>
      </w:r>
    </w:p>
    <w:p>
      <w:pPr>
        <w:pStyle w:val="ListParagraph"/>
        <w:numPr>
          <w:ilvl w:val="0"/>
          <w:numId w:val="1"/>
        </w:numPr>
        <w:spacing w:after="60"/>
      </w:pPr>
      <w:r>
        <w:t xml:space="preserve">Legal, privacy, client, financial, operational and reputational impact where relevant</w:t>
      </w:r>
    </w:p>
    <w:p>
      <w:pPr>
        <w:pStyle w:val="ListParagraph"/>
        <w:numPr>
          <w:ilvl w:val="0"/>
          <w:numId w:val="1"/>
        </w:numPr>
        <w:spacing w:after="60"/>
      </w:pPr>
      <w:r>
        <w:t xml:space="preserve">Likelihood and impact scores</w:t>
      </w:r>
    </w:p>
    <w:p>
      <w:pPr>
        <w:pStyle w:val="ListParagraph"/>
        <w:numPr>
          <w:ilvl w:val="0"/>
          <w:numId w:val="1"/>
        </w:numPr>
        <w:spacing w:after="60"/>
      </w:pPr>
      <w:r>
        <w:t xml:space="preserve">Inherent-risk rating</w:t>
      </w:r>
    </w:p>
    <w:p>
      <w:pPr>
        <w:pStyle w:val="ListParagraph"/>
        <w:numPr>
          <w:ilvl w:val="0"/>
          <w:numId w:val="1"/>
        </w:numPr>
        <w:spacing w:after="60"/>
      </w:pPr>
      <w:r>
        <w:t xml:space="preserve">Existing controls, control owner and evidence link</w:t>
      </w:r>
    </w:p>
    <w:p>
      <w:pPr>
        <w:pStyle w:val="ListParagraph"/>
        <w:numPr>
          <w:ilvl w:val="0"/>
          <w:numId w:val="1"/>
        </w:numPr>
        <w:spacing w:after="60"/>
      </w:pPr>
      <w:r>
        <w:t xml:space="preserve">Control-effectiveness assessment</w:t>
      </w:r>
    </w:p>
    <w:p>
      <w:pPr>
        <w:pStyle w:val="ListParagraph"/>
        <w:numPr>
          <w:ilvl w:val="0"/>
          <w:numId w:val="1"/>
        </w:numPr>
        <w:spacing w:after="60"/>
      </w:pPr>
      <w:r>
        <w:t xml:space="preserve">Residual-risk rating</w:t>
      </w:r>
    </w:p>
    <w:p>
      <w:pPr>
        <w:pStyle w:val="ListParagraph"/>
        <w:numPr>
          <w:ilvl w:val="0"/>
          <w:numId w:val="1"/>
        </w:numPr>
        <w:spacing w:after="60"/>
      </w:pPr>
      <w:r>
        <w:t xml:space="preserve">Appetite/tolerance result</w:t>
      </w:r>
    </w:p>
    <w:p>
      <w:pPr>
        <w:pStyle w:val="ListParagraph"/>
        <w:numPr>
          <w:ilvl w:val="0"/>
          <w:numId w:val="1"/>
        </w:numPr>
        <w:spacing w:after="60"/>
      </w:pPr>
      <w:r>
        <w:t xml:space="preserve">Approved treatment option</w:t>
      </w:r>
    </w:p>
    <w:p>
      <w:pPr>
        <w:pStyle w:val="ListParagraph"/>
        <w:numPr>
          <w:ilvl w:val="0"/>
          <w:numId w:val="1"/>
        </w:numPr>
        <w:spacing w:after="60"/>
      </w:pPr>
      <w:r>
        <w:t xml:space="preserve">Risk owner and treatment-action owners</w:t>
      </w:r>
    </w:p>
    <w:p>
      <w:pPr>
        <w:pStyle w:val="ListParagraph"/>
        <w:numPr>
          <w:ilvl w:val="0"/>
          <w:numId w:val="1"/>
        </w:numPr>
        <w:spacing w:after="60"/>
      </w:pPr>
      <w:r>
        <w:t xml:space="preserve">Target and review dates</w:t>
      </w:r>
    </w:p>
    <w:p>
      <w:pPr>
        <w:pStyle w:val="ListParagraph"/>
        <w:numPr>
          <w:ilvl w:val="0"/>
          <w:numId w:val="1"/>
        </w:numPr>
        <w:spacing w:after="60"/>
      </w:pPr>
      <w:r>
        <w:t xml:space="preserve">Status, dependencies and related Redmine tickets</w:t>
      </w:r>
    </w:p>
    <w:p>
      <w:pPr>
        <w:pStyle w:val="ListParagraph"/>
        <w:numPr>
          <w:ilvl w:val="0"/>
          <w:numId w:val="1"/>
        </w:numPr>
        <w:spacing w:after="60"/>
      </w:pPr>
      <w:r>
        <w:t xml:space="preserve">Treatment and closure evidence links</w:t>
      </w:r>
    </w:p>
    <w:p>
      <w:pPr>
        <w:pStyle w:val="ListParagraph"/>
        <w:numPr>
          <w:ilvl w:val="0"/>
          <w:numId w:val="1"/>
        </w:numPr>
        <w:spacing w:after="60"/>
      </w:pPr>
      <w:r>
        <w:t xml:space="preserve">Acceptance approver, rationale and expiry/review date</w:t>
      </w:r>
    </w:p>
    <w:p>
      <w:pPr>
        <w:pStyle w:val="ListParagraph"/>
        <w:numPr>
          <w:ilvl w:val="0"/>
          <w:numId w:val="1"/>
        </w:numPr>
        <w:spacing w:after="60"/>
      </w:pPr>
      <w:r>
        <w:t xml:space="preserve">Last review, next review and change history</w:t>
      </w:r>
    </w:p>
    <w:p>
      <w:pPr>
        <w:pStyle w:val="ListParagraph"/>
        <w:numPr>
          <w:ilvl w:val="0"/>
          <w:numId w:val="1"/>
        </w:numPr>
        <w:spacing w:after="60"/>
      </w:pPr>
      <w:r>
        <w:t xml:space="preserve">Closure rationale and approval</w:t>
      </w:r>
    </w:p>
    <w:p>
      <w:pPr>
        <w:spacing w:after="140"/>
      </w:pPr>
      <w:r>
        <w:rPr>
          <w:i/>
          <w:iCs/>
        </w:rPr>
        <w:t xml:space="preserve">Sensitive evidence (credentials, personal information, exploit detail, confidential client data) must be stored in the restricted SharePoint library — never in Redmine.</w:t>
      </w:r>
    </w:p>
    <w:p>
      <w:pPr>
        <w:pStyle w:val="Heading1"/>
        <w:spacing w:after="160" w:before="320"/>
      </w:pPr>
      <w:r>
        <w:t xml:space="preserve">8. Initial Baseline Assessment Scope</w:t>
      </w:r>
    </w:p>
    <w:p>
      <w:pPr>
        <w:spacing w:after="140"/>
      </w:pPr>
      <w:r>
        <w:t xml:space="preserve">The first baseline risk assessment under this process must cover:</w:t>
      </w:r>
    </w:p>
    <w:p>
      <w:pPr>
        <w:pStyle w:val="ListParagraph"/>
        <w:numPr>
          <w:ilvl w:val="0"/>
          <w:numId w:val="1"/>
        </w:numPr>
        <w:spacing w:after="60"/>
      </w:pPr>
      <w:r>
        <w:t xml:space="preserve">Asset and ownership gaps from #438</w:t>
      </w:r>
    </w:p>
    <w:p>
      <w:pPr>
        <w:pStyle w:val="ListParagraph"/>
        <w:numPr>
          <w:ilvl w:val="0"/>
          <w:numId w:val="1"/>
        </w:numPr>
        <w:spacing w:after="60"/>
      </w:pPr>
      <w:r>
        <w:t xml:space="preserve">Penetration-test findings and remediation status</w:t>
      </w:r>
    </w:p>
    <w:p>
      <w:pPr>
        <w:pStyle w:val="ListParagraph"/>
        <w:numPr>
          <w:ilvl w:val="0"/>
          <w:numId w:val="1"/>
        </w:numPr>
        <w:spacing w:after="60"/>
      </w:pPr>
      <w:r>
        <w:t xml:space="preserve">Internet-facing infrastructure and network exposure</w:t>
      </w:r>
    </w:p>
    <w:p>
      <w:pPr>
        <w:pStyle w:val="ListParagraph"/>
        <w:numPr>
          <w:ilvl w:val="0"/>
          <w:numId w:val="1"/>
        </w:numPr>
        <w:spacing w:after="60"/>
      </w:pPr>
      <w:r>
        <w:t xml:space="preserve">Identity, access, MFA, privileged and service accounts</w:t>
      </w:r>
    </w:p>
    <w:p>
      <w:pPr>
        <w:pStyle w:val="ListParagraph"/>
        <w:numPr>
          <w:ilvl w:val="0"/>
          <w:numId w:val="1"/>
        </w:numPr>
        <w:spacing w:after="60"/>
      </w:pPr>
      <w:r>
        <w:t xml:space="preserve">Source code, CI/CD, deployment and software-supply-chain controls</w:t>
      </w:r>
    </w:p>
    <w:p>
      <w:pPr>
        <w:pStyle w:val="ListParagraph"/>
        <w:numPr>
          <w:ilvl w:val="0"/>
          <w:numId w:val="1"/>
        </w:numPr>
        <w:spacing w:after="60"/>
      </w:pPr>
      <w:r>
        <w:t xml:space="preserve">Development, test, demo and production environment separation</w:t>
      </w:r>
    </w:p>
    <w:p>
      <w:pPr>
        <w:pStyle w:val="ListParagraph"/>
        <w:numPr>
          <w:ilvl w:val="0"/>
          <w:numId w:val="1"/>
        </w:numPr>
        <w:spacing w:after="60"/>
      </w:pPr>
      <w:r>
        <w:t xml:space="preserve">Secrets and organisational API-key ownership</w:t>
      </w:r>
    </w:p>
    <w:p>
      <w:pPr>
        <w:pStyle w:val="ListParagraph"/>
        <w:numPr>
          <w:ilvl w:val="0"/>
          <w:numId w:val="1"/>
        </w:numPr>
        <w:spacing w:after="60"/>
      </w:pPr>
      <w:r>
        <w:t xml:space="preserve">Backups, recovery, disaster recovery and business continuity</w:t>
      </w:r>
    </w:p>
    <w:p>
      <w:pPr>
        <w:pStyle w:val="ListParagraph"/>
        <w:numPr>
          <w:ilvl w:val="0"/>
          <w:numId w:val="1"/>
        </w:numPr>
        <w:spacing w:after="60"/>
      </w:pPr>
      <w:r>
        <w:t xml:space="preserve">Monitoring, alerting, incident management and escalation (see #188)</w:t>
      </w:r>
    </w:p>
    <w:p>
      <w:pPr>
        <w:pStyle w:val="ListParagraph"/>
        <w:numPr>
          <w:ilvl w:val="0"/>
          <w:numId w:val="1"/>
        </w:numPr>
        <w:spacing w:after="60"/>
      </w:pPr>
      <w:r>
        <w:t xml:space="preserve">Microsoft 365, SharePoint, email, domains and DNS</w:t>
      </w:r>
    </w:p>
    <w:p>
      <w:pPr>
        <w:pStyle w:val="ListParagraph"/>
        <w:numPr>
          <w:ilvl w:val="0"/>
          <w:numId w:val="1"/>
        </w:numPr>
        <w:spacing w:after="60"/>
      </w:pPr>
      <w:r>
        <w:t xml:space="preserve">Cloud, Coolify, databases, storage and third-party platforms</w:t>
      </w:r>
    </w:p>
    <w:p>
      <w:pPr>
        <w:pStyle w:val="ListParagraph"/>
        <w:numPr>
          <w:ilvl w:val="0"/>
          <w:numId w:val="1"/>
        </w:numPr>
        <w:spacing w:after="60"/>
      </w:pPr>
      <w:r>
        <w:t xml:space="preserve">OBSE, CVEvolve and other OMS-managed applications and APIs</w:t>
      </w:r>
    </w:p>
    <w:p>
      <w:pPr>
        <w:pStyle w:val="ListParagraph"/>
        <w:numPr>
          <w:ilvl w:val="0"/>
          <w:numId w:val="1"/>
        </w:numPr>
        <w:spacing w:after="60"/>
      </w:pPr>
      <w:r>
        <w:t xml:space="preserve">Client and supplier dependencies</w:t>
      </w:r>
    </w:p>
    <w:p>
      <w:pPr>
        <w:pStyle w:val="ListParagraph"/>
        <w:numPr>
          <w:ilvl w:val="0"/>
          <w:numId w:val="1"/>
        </w:numPr>
        <w:spacing w:after="60"/>
      </w:pPr>
      <w:r>
        <w:t xml:space="preserve">POPIA, retention and third-party processing</w:t>
      </w:r>
    </w:p>
    <w:p>
      <w:pPr>
        <w:pStyle w:val="ListParagraph"/>
        <w:numPr>
          <w:ilvl w:val="0"/>
          <w:numId w:val="1"/>
        </w:numPr>
        <w:spacing w:after="60"/>
      </w:pPr>
      <w:r>
        <w:t xml:space="preserve">AI/model, dataset, prompt-injection, model-supply-chain and human-review risks</w:t>
      </w:r>
    </w:p>
    <w:p>
      <w:pPr>
        <w:pStyle w:val="ListParagraph"/>
        <w:numPr>
          <w:ilvl w:val="0"/>
          <w:numId w:val="1"/>
        </w:numPr>
        <w:spacing w:after="60"/>
      </w:pPr>
      <w:r>
        <w:t xml:space="preserve">Skills, capacity, key-person and succession risks</w:t>
      </w:r>
    </w:p>
    <w:p>
      <w:pPr>
        <w:pStyle w:val="ListParagraph"/>
        <w:numPr>
          <w:ilvl w:val="0"/>
          <w:numId w:val="1"/>
        </w:numPr>
        <w:spacing w:after="60"/>
      </w:pPr>
      <w:r>
        <w:t xml:space="preserve">Devices, laptops, physical security and remote access</w:t>
      </w:r>
    </w:p>
    <w:p>
      <w:pPr>
        <w:pStyle w:val="Heading1"/>
        <w:spacing w:after="160" w:before="320"/>
      </w:pPr>
      <w:r>
        <w:t xml:space="preserve">9. Relationship to Other Tickets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800"/>
        <w:gridCol w:w="7550"/>
      </w:tblGrid>
      <w:tr>
        <w:tc>
          <w:tcPr>
            <w:tcW w:type="dxa" w:w="1800"/>
            <w:shd w:fill="1F3864" w:color="auto" w:val="clear"/>
            <w:tcMar>
              <w:top w:type="dxa" w:w="80"/>
              <w:left w:type="dxa" w:w="100"/>
              <w:bottom w:type="dxa" w:w="80"/>
              <w:right w:type="dxa" w:w="100"/>
            </w:tcMar>
          </w:tcPr>
          <w:p>
            <w:r>
              <w:rPr>
                <w:b/>
                <w:bCs/>
                <w:color w:val="FFFFFF"/>
                <w:sz w:val="20"/>
                <w:szCs w:val="20"/>
              </w:rPr>
              <w:t xml:space="preserve">Ticket</w:t>
            </w:r>
          </w:p>
        </w:tc>
        <w:tc>
          <w:tcPr>
            <w:tcW w:type="dxa" w:w="7550"/>
            <w:shd w:fill="1F3864" w:color="auto" w:val="clear"/>
            <w:tcMar>
              <w:top w:type="dxa" w:w="80"/>
              <w:left w:type="dxa" w:w="100"/>
              <w:bottom w:type="dxa" w:w="80"/>
              <w:right w:type="dxa" w:w="100"/>
            </w:tcMar>
          </w:tcPr>
          <w:p>
            <w:r>
              <w:rPr>
                <w:b/>
                <w:bCs/>
                <w:color w:val="FFFFFF"/>
                <w:sz w:val="20"/>
                <w:szCs w:val="20"/>
              </w:rPr>
              <w:t xml:space="preserve">Relationship</w:t>
            </w:r>
          </w:p>
        </w:tc>
      </w:tr>
      <w:tr>
        <w:tc>
          <w:tcPr>
            <w:tcW w:type="dxa" w:w="1800"/>
            <w:tcMar>
              <w:top w:type="dxa" w:w="80"/>
              <w:left w:type="dxa" w:w="100"/>
              <w:bottom w:type="dxa" w:w="80"/>
              <w:right w:type="dxa" w:w="100"/>
            </w:tcMar>
          </w:tcPr>
          <w:p>
            <w:r>
              <w:rPr>
                <w:b w:val="false"/>
                <w:bCs w:val="false"/>
                <w:color w:val="000000"/>
                <w:sz w:val="20"/>
                <w:szCs w:val="20"/>
              </w:rPr>
              <w:t xml:space="preserve">#179</w:t>
            </w:r>
          </w:p>
        </w:tc>
        <w:tc>
          <w:tcPr>
            <w:tcW w:type="dxa" w:w="7550"/>
            <w:tcMar>
              <w:top w:type="dxa" w:w="80"/>
              <w:left w:type="dxa" w:w="100"/>
              <w:bottom w:type="dxa" w:w="80"/>
              <w:right w:type="dxa" w:w="100"/>
            </w:tcMar>
          </w:tcPr>
          <w:p>
            <w:r>
              <w:rPr>
                <w:b w:val="false"/>
                <w:bCs w:val="false"/>
                <w:color w:val="000000"/>
                <w:sz w:val="20"/>
                <w:szCs w:val="20"/>
              </w:rPr>
              <w:t xml:space="preserve">Main governance and tracking ticket for this policy and the risk programme.</w:t>
            </w:r>
          </w:p>
        </w:tc>
      </w:tr>
      <w:tr>
        <w:tc>
          <w:tcPr>
            <w:tcW w:type="dxa" w:w="1800"/>
            <w:tcMar>
              <w:top w:type="dxa" w:w="80"/>
              <w:left w:type="dxa" w:w="100"/>
              <w:bottom w:type="dxa" w:w="80"/>
              <w:right w:type="dxa" w:w="100"/>
            </w:tcMar>
          </w:tcPr>
          <w:p>
            <w:r>
              <w:rPr>
                <w:b w:val="false"/>
                <w:bCs w:val="false"/>
                <w:color w:val="000000"/>
                <w:sz w:val="20"/>
                <w:szCs w:val="20"/>
              </w:rPr>
              <w:t xml:space="preserve">#186</w:t>
            </w:r>
          </w:p>
        </w:tc>
        <w:tc>
          <w:tcPr>
            <w:tcW w:type="dxa" w:w="7550"/>
            <w:tcMar>
              <w:top w:type="dxa" w:w="80"/>
              <w:left w:type="dxa" w:w="100"/>
              <w:bottom w:type="dxa" w:w="80"/>
              <w:right w:type="dxa" w:w="100"/>
            </w:tcMar>
          </w:tcPr>
          <w:p>
            <w:r>
              <w:rPr>
                <w:b w:val="false"/>
                <w:bCs w:val="false"/>
                <w:color w:val="000000"/>
                <w:sz w:val="20"/>
                <w:szCs w:val="20"/>
              </w:rPr>
              <w:t xml:space="preserve">Evidence of the periodic-assessment gap; closed by the approved review schedule (Section 5) and completed assessments.</w:t>
            </w:r>
          </w:p>
        </w:tc>
      </w:tr>
      <w:tr>
        <w:tc>
          <w:tcPr>
            <w:tcW w:type="dxa" w:w="1800"/>
            <w:tcMar>
              <w:top w:type="dxa" w:w="80"/>
              <w:left w:type="dxa" w:w="100"/>
              <w:bottom w:type="dxa" w:w="80"/>
              <w:right w:type="dxa" w:w="100"/>
            </w:tcMar>
          </w:tcPr>
          <w:p>
            <w:r>
              <w:rPr>
                <w:b w:val="false"/>
                <w:bCs w:val="false"/>
                <w:color w:val="000000"/>
                <w:sz w:val="20"/>
                <w:szCs w:val="20"/>
              </w:rPr>
              <w:t xml:space="preserve">#438</w:t>
            </w:r>
          </w:p>
        </w:tc>
        <w:tc>
          <w:tcPr>
            <w:tcW w:type="dxa" w:w="7550"/>
            <w:tcMar>
              <w:top w:type="dxa" w:w="80"/>
              <w:left w:type="dxa" w:w="100"/>
              <w:bottom w:type="dxa" w:w="80"/>
              <w:right w:type="dxa" w:w="100"/>
            </w:tcMar>
          </w:tcPr>
          <w:p>
            <w:r>
              <w:rPr>
                <w:b w:val="false"/>
                <w:bCs w:val="false"/>
                <w:color w:val="000000"/>
                <w:sz w:val="20"/>
                <w:szCs w:val="20"/>
              </w:rPr>
              <w:t xml:space="preserve">Asset-register dependency; feeds ownership, exposure and control data into the risk register (Section 7).</w:t>
            </w:r>
          </w:p>
        </w:tc>
      </w:tr>
      <w:tr>
        <w:tc>
          <w:tcPr>
            <w:tcW w:type="dxa" w:w="1800"/>
            <w:tcMar>
              <w:top w:type="dxa" w:w="80"/>
              <w:left w:type="dxa" w:w="100"/>
              <w:bottom w:type="dxa" w:w="80"/>
              <w:right w:type="dxa" w:w="100"/>
            </w:tcMar>
          </w:tcPr>
          <w:p>
            <w:r>
              <w:rPr>
                <w:b w:val="false"/>
                <w:bCs w:val="false"/>
                <w:color w:val="000000"/>
                <w:sz w:val="20"/>
                <w:szCs w:val="20"/>
              </w:rPr>
              <w:t xml:space="preserve">#188</w:t>
            </w:r>
          </w:p>
        </w:tc>
        <w:tc>
          <w:tcPr>
            <w:tcW w:type="dxa" w:w="7550"/>
            <w:tcMar>
              <w:top w:type="dxa" w:w="80"/>
              <w:left w:type="dxa" w:w="100"/>
              <w:bottom w:type="dxa" w:w="80"/>
              <w:right w:type="dxa" w:w="100"/>
            </w:tcMar>
          </w:tcPr>
          <w:p>
            <w:r>
              <w:rPr>
                <w:b w:val="false"/>
                <w:bCs w:val="false"/>
                <w:color w:val="000000"/>
                <w:sz w:val="20"/>
                <w:szCs w:val="20"/>
              </w:rPr>
              <w:t xml:space="preserve">Monitoring and measurement gap; feeds monthly monitoring evidence into the MANCO risk report (Section 6).</w:t>
            </w:r>
          </w:p>
        </w:tc>
      </w:tr>
    </w:tbl>
    <w:p>
      <w:pPr>
        <w:pStyle w:val="Heading1"/>
        <w:spacing w:after="160" w:before="320"/>
      </w:pPr>
      <w:r>
        <w:t xml:space="preserve">10. Required Deliverables Checklist</w:t>
      </w:r>
    </w:p>
    <w:p>
      <w:pPr>
        <w:pStyle w:val="ListParagraph"/>
        <w:numPr>
          <w:ilvl w:val="0"/>
          <w:numId w:val="1"/>
        </w:numPr>
        <w:spacing w:after="60"/>
      </w:pPr>
      <w:r>
        <w:t xml:space="preserve">Approved IT and Information Security Risk Management Policy — this document</w:t>
      </w:r>
    </w:p>
    <w:p>
      <w:pPr>
        <w:pStyle w:val="ListParagraph"/>
        <w:numPr>
          <w:ilvl w:val="0"/>
          <w:numId w:val="1"/>
        </w:numPr>
        <w:spacing w:after="60"/>
      </w:pPr>
      <w:r>
        <w:t xml:space="preserve">Approved risk-assessment and risk-treatment procedure — Section 3</w:t>
      </w:r>
    </w:p>
    <w:p>
      <w:pPr>
        <w:pStyle w:val="ListParagraph"/>
        <w:numPr>
          <w:ilvl w:val="0"/>
          <w:numId w:val="1"/>
        </w:numPr>
        <w:spacing w:after="60"/>
      </w:pPr>
      <w:r>
        <w:t xml:space="preserve">Likelihood, impact, risk-rating, appetite and acceptance criteria — Section 4 (pending ratification)</w:t>
      </w:r>
    </w:p>
    <w:p>
      <w:pPr>
        <w:pStyle w:val="ListParagraph"/>
        <w:numPr>
          <w:ilvl w:val="0"/>
          <w:numId w:val="1"/>
        </w:numPr>
        <w:spacing w:after="60"/>
      </w:pPr>
      <w:r>
        <w:t xml:space="preserve">Controlled master IT/security risk register — companion template, to be populated</w:t>
      </w:r>
    </w:p>
    <w:p>
      <w:pPr>
        <w:pStyle w:val="ListParagraph"/>
        <w:numPr>
          <w:ilvl w:val="0"/>
          <w:numId w:val="1"/>
        </w:numPr>
        <w:spacing w:after="60"/>
      </w:pPr>
      <w:r>
        <w:t xml:space="preserve">Initial baseline risk assessment — Section 8, to be executed</w:t>
      </w:r>
    </w:p>
    <w:p>
      <w:pPr>
        <w:pStyle w:val="ListParagraph"/>
        <w:numPr>
          <w:ilvl w:val="0"/>
          <w:numId w:val="1"/>
        </w:numPr>
        <w:spacing w:after="60"/>
      </w:pPr>
      <w:r>
        <w:t xml:space="preserve">Risk Treatment Plan with owners and dates — to be produced from register</w:t>
      </w:r>
    </w:p>
    <w:p>
      <w:pPr>
        <w:pStyle w:val="ListParagraph"/>
        <w:numPr>
          <w:ilvl w:val="0"/>
          <w:numId w:val="1"/>
        </w:numPr>
        <w:spacing w:after="60"/>
      </w:pPr>
      <w:r>
        <w:t xml:space="preserve">Asset-register linkage to #438 — pending #438 completion</w:t>
      </w:r>
    </w:p>
    <w:p>
      <w:pPr>
        <w:pStyle w:val="ListParagraph"/>
        <w:numPr>
          <w:ilvl w:val="0"/>
          <w:numId w:val="1"/>
        </w:numPr>
        <w:spacing w:after="60"/>
      </w:pPr>
      <w:r>
        <w:t xml:space="preserve">Monthly and event-driven review schedule — Section 5</w:t>
      </w:r>
    </w:p>
    <w:p>
      <w:pPr>
        <w:pStyle w:val="ListParagraph"/>
        <w:numPr>
          <w:ilvl w:val="0"/>
          <w:numId w:val="1"/>
        </w:numPr>
        <w:spacing w:after="60"/>
      </w:pPr>
      <w:r>
        <w:t xml:space="preserve">Monthly risk-review template and completed evidence — to be produced</w:t>
      </w:r>
    </w:p>
    <w:p>
      <w:pPr>
        <w:pStyle w:val="ListParagraph"/>
        <w:numPr>
          <w:ilvl w:val="0"/>
          <w:numId w:val="1"/>
        </w:numPr>
        <w:spacing w:after="60"/>
      </w:pPr>
      <w:r>
        <w:t xml:space="preserve">MANCO risk dashboard/report and completed review evidence — Section 6, template to be produced</w:t>
      </w:r>
    </w:p>
    <w:p>
      <w:pPr>
        <w:pStyle w:val="ListParagraph"/>
        <w:numPr>
          <w:ilvl w:val="0"/>
          <w:numId w:val="1"/>
        </w:numPr>
        <w:spacing w:after="60"/>
      </w:pPr>
      <w:r>
        <w:t xml:space="preserve">Residual-risk acceptance workflow and approval record — to be produced</w:t>
      </w:r>
    </w:p>
    <w:p>
      <w:pPr>
        <w:pStyle w:val="ListParagraph"/>
        <w:numPr>
          <w:ilvl w:val="0"/>
          <w:numId w:val="1"/>
        </w:numPr>
        <w:spacing w:after="60"/>
      </w:pPr>
      <w:r>
        <w:t xml:space="preserve">Risk escalation and overdue-action procedure — to be produced</w:t>
      </w:r>
    </w:p>
    <w:p>
      <w:pPr>
        <w:pStyle w:val="ListParagraph"/>
        <w:numPr>
          <w:ilvl w:val="0"/>
          <w:numId w:val="1"/>
        </w:numPr>
        <w:spacing w:after="60"/>
      </w:pPr>
      <w:r>
        <w:t xml:space="preserve">Controlled SharePoint storage and canonical links — to be confirmed</w:t>
      </w:r>
    </w:p>
    <w:p>
      <w:pPr>
        <w:pStyle w:val="ListParagraph"/>
        <w:numPr>
          <w:ilvl w:val="0"/>
          <w:numId w:val="1"/>
        </w:numPr>
        <w:spacing w:after="60"/>
      </w:pPr>
      <w:r>
        <w:t xml:space="preserve">Evidence-retention requirements — to be defined</w:t>
      </w:r>
    </w:p>
    <w:p>
      <w:pPr>
        <w:pStyle w:val="ListParagraph"/>
        <w:numPr>
          <w:ilvl w:val="0"/>
          <w:numId w:val="1"/>
        </w:numPr>
        <w:spacing w:after="60"/>
      </w:pPr>
      <w:r>
        <w:t xml:space="preserve">Staff and risk-owner awareness/training evidence — to be scheduled</w:t>
      </w:r>
    </w:p>
    <w:p>
      <w:pPr>
        <w:pStyle w:val="Heading1"/>
        <w:spacing w:after="160" w:before="320"/>
      </w:pPr>
      <w:r>
        <w:t xml:space="preserve">11. Approval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2250"/>
        <w:gridCol w:w="2250"/>
        <w:gridCol w:w="2250"/>
      </w:tblGrid>
      <w:tr>
        <w:tc>
          <w:tcPr>
            <w:tcW w:type="dxa" w:w="2600"/>
            <w:shd w:fill="1F3864" w:color="auto" w:val="clear"/>
            <w:tcMar>
              <w:top w:type="dxa" w:w="80"/>
              <w:left w:type="dxa" w:w="100"/>
              <w:bottom w:type="dxa" w:w="80"/>
              <w:right w:type="dxa" w:w="100"/>
            </w:tcMar>
          </w:tcPr>
          <w:p>
            <w:r>
              <w:rPr>
                <w:b/>
                <w:bCs/>
                <w:color w:val="FFFFFF"/>
                <w:sz w:val="20"/>
                <w:szCs w:val="20"/>
              </w:rPr>
              <w:t xml:space="preserve">Role</w:t>
            </w:r>
          </w:p>
        </w:tc>
        <w:tc>
          <w:tcPr>
            <w:tcW w:type="dxa" w:w="2250"/>
            <w:shd w:fill="1F3864" w:color="auto" w:val="clear"/>
            <w:tcMar>
              <w:top w:type="dxa" w:w="80"/>
              <w:left w:type="dxa" w:w="100"/>
              <w:bottom w:type="dxa" w:w="80"/>
              <w:right w:type="dxa" w:w="100"/>
            </w:tcMar>
          </w:tcPr>
          <w:p>
            <w:r>
              <w:rPr>
                <w:b/>
                <w:bCs/>
                <w:color w:val="FFFFFF"/>
                <w:sz w:val="20"/>
                <w:szCs w:val="20"/>
              </w:rPr>
              <w:t xml:space="preserve">Name</w:t>
            </w:r>
          </w:p>
        </w:tc>
        <w:tc>
          <w:tcPr>
            <w:tcW w:type="dxa" w:w="2250"/>
            <w:shd w:fill="1F3864" w:color="auto" w:val="clear"/>
            <w:tcMar>
              <w:top w:type="dxa" w:w="80"/>
              <w:left w:type="dxa" w:w="100"/>
              <w:bottom w:type="dxa" w:w="80"/>
              <w:right w:type="dxa" w:w="100"/>
            </w:tcMar>
          </w:tcPr>
          <w:p>
            <w:r>
              <w:rPr>
                <w:b/>
                <w:bCs/>
                <w:color w:val="FFFFFF"/>
                <w:sz w:val="20"/>
                <w:szCs w:val="20"/>
              </w:rPr>
              <w:t xml:space="preserve">Signature</w:t>
            </w:r>
          </w:p>
        </w:tc>
        <w:tc>
          <w:tcPr>
            <w:tcW w:type="dxa" w:w="2250"/>
            <w:shd w:fill="1F3864" w:color="auto" w:val="clear"/>
            <w:tcMar>
              <w:top w:type="dxa" w:w="80"/>
              <w:left w:type="dxa" w:w="100"/>
              <w:bottom w:type="dxa" w:w="80"/>
              <w:right w:type="dxa" w:w="100"/>
            </w:tcMar>
          </w:tcPr>
          <w:p>
            <w:r>
              <w:rPr>
                <w:b/>
                <w:bCs/>
                <w:color w:val="FFFFFF"/>
                <w:sz w:val="20"/>
                <w:szCs w:val="20"/>
              </w:rPr>
              <w:t xml:space="preserve">Date</w:t>
            </w:r>
          </w:p>
        </w:tc>
      </w:tr>
      <w:tr>
        <w:tc>
          <w:tcPr>
            <w:tcW w:type="dxa" w:w="2600"/>
            <w:tcMar>
              <w:top w:type="dxa" w:w="80"/>
              <w:left w:type="dxa" w:w="100"/>
              <w:bottom w:type="dxa" w:w="80"/>
              <w:right w:type="dxa" w:w="100"/>
            </w:tcMar>
          </w:tcPr>
          <w:p>
            <w:r>
              <w:rPr>
                <w:b w:val="false"/>
                <w:bCs w:val="false"/>
                <w:color w:val="000000"/>
                <w:sz w:val="20"/>
                <w:szCs w:val="20"/>
              </w:rPr>
              <w:t xml:space="preserve">Executive Risk Owner</w:t>
            </w:r>
          </w:p>
        </w:tc>
        <w:tc>
          <w:tcPr>
            <w:tcW w:type="dxa" w:w="2250"/>
            <w:tcMar>
              <w:top w:type="dxa" w:w="80"/>
              <w:left w:type="dxa" w:w="100"/>
              <w:bottom w:type="dxa" w:w="80"/>
              <w:right w:type="dxa" w:w="100"/>
            </w:tcMar>
          </w:tcPr>
          <w:p>
            <w:r>
              <w:rPr>
                <w:b w:val="false"/>
                <w:bCs w:val="false"/>
                <w:color w:val="000000"/>
                <w:sz w:val="20"/>
                <w:szCs w:val="20"/>
              </w:rPr>
              <w:t xml:space="preserve"/>
            </w:r>
          </w:p>
        </w:tc>
        <w:tc>
          <w:tcPr>
            <w:tcW w:type="dxa" w:w="2250"/>
            <w:tcMar>
              <w:top w:type="dxa" w:w="80"/>
              <w:left w:type="dxa" w:w="100"/>
              <w:bottom w:type="dxa" w:w="80"/>
              <w:right w:type="dxa" w:w="100"/>
            </w:tcMar>
          </w:tcPr>
          <w:p>
            <w:r>
              <w:rPr>
                <w:b w:val="false"/>
                <w:bCs w:val="false"/>
                <w:color w:val="000000"/>
                <w:sz w:val="20"/>
                <w:szCs w:val="20"/>
              </w:rPr>
              <w:t xml:space="preserve"/>
            </w:r>
          </w:p>
        </w:tc>
        <w:tc>
          <w:tcPr>
            <w:tcW w:type="dxa" w:w="2250"/>
            <w:tcMar>
              <w:top w:type="dxa" w:w="80"/>
              <w:left w:type="dxa" w:w="100"/>
              <w:bottom w:type="dxa" w:w="80"/>
              <w:right w:type="dxa" w:w="100"/>
            </w:tcMar>
          </w:tcPr>
          <w:p>
            <w:r>
              <w:rPr>
                <w:b w:val="false"/>
                <w:bCs w:val="false"/>
                <w:color w:val="000000"/>
                <w:sz w:val="20"/>
                <w:szCs w:val="20"/>
              </w:rPr>
              <w:t xml:space="preserve"/>
            </w:r>
          </w:p>
        </w:tc>
      </w:tr>
      <w:tr>
        <w:tc>
          <w:tcPr>
            <w:tcW w:type="dxa" w:w="2600"/>
            <w:tcMar>
              <w:top w:type="dxa" w:w="80"/>
              <w:left w:type="dxa" w:w="100"/>
              <w:bottom w:type="dxa" w:w="80"/>
              <w:right w:type="dxa" w:w="100"/>
            </w:tcMar>
          </w:tcPr>
          <w:p>
            <w:r>
              <w:rPr>
                <w:b w:val="false"/>
                <w:bCs w:val="false"/>
                <w:color w:val="000000"/>
                <w:sz w:val="20"/>
                <w:szCs w:val="20"/>
              </w:rPr>
              <w:t xml:space="preserve">Process Owner</w:t>
            </w:r>
          </w:p>
        </w:tc>
        <w:tc>
          <w:tcPr>
            <w:tcW w:type="dxa" w:w="2250"/>
            <w:tcMar>
              <w:top w:type="dxa" w:w="80"/>
              <w:left w:type="dxa" w:w="100"/>
              <w:bottom w:type="dxa" w:w="80"/>
              <w:right w:type="dxa" w:w="100"/>
            </w:tcMar>
          </w:tcPr>
          <w:p>
            <w:r>
              <w:rPr>
                <w:b w:val="false"/>
                <w:bCs w:val="false"/>
                <w:color w:val="000000"/>
                <w:sz w:val="20"/>
                <w:szCs w:val="20"/>
              </w:rPr>
              <w:t xml:space="preserve"/>
            </w:r>
          </w:p>
        </w:tc>
        <w:tc>
          <w:tcPr>
            <w:tcW w:type="dxa" w:w="2250"/>
            <w:tcMar>
              <w:top w:type="dxa" w:w="80"/>
              <w:left w:type="dxa" w:w="100"/>
              <w:bottom w:type="dxa" w:w="80"/>
              <w:right w:type="dxa" w:w="100"/>
            </w:tcMar>
          </w:tcPr>
          <w:p>
            <w:r>
              <w:rPr>
                <w:b w:val="false"/>
                <w:bCs w:val="false"/>
                <w:color w:val="000000"/>
                <w:sz w:val="20"/>
                <w:szCs w:val="20"/>
              </w:rPr>
              <w:t xml:space="preserve"/>
            </w:r>
          </w:p>
        </w:tc>
        <w:tc>
          <w:tcPr>
            <w:tcW w:type="dxa" w:w="2250"/>
            <w:tcMar>
              <w:top w:type="dxa" w:w="80"/>
              <w:left w:type="dxa" w:w="100"/>
              <w:bottom w:type="dxa" w:w="80"/>
              <w:right w:type="dxa" w:w="100"/>
            </w:tcMar>
          </w:tcPr>
          <w:p>
            <w:r>
              <w:rPr>
                <w:b w:val="false"/>
                <w:bCs w:val="false"/>
                <w:color w:val="000000"/>
                <w:sz w:val="20"/>
                <w:szCs w:val="20"/>
              </w:rPr>
              <w:t xml:space="preserve"/>
            </w:r>
          </w:p>
        </w:tc>
      </w:tr>
      <w:tr>
        <w:tc>
          <w:tcPr>
            <w:tcW w:type="dxa" w:w="2600"/>
            <w:tcMar>
              <w:top w:type="dxa" w:w="80"/>
              <w:left w:type="dxa" w:w="100"/>
              <w:bottom w:type="dxa" w:w="80"/>
              <w:right w:type="dxa" w:w="100"/>
            </w:tcMar>
          </w:tcPr>
          <w:p>
            <w:r>
              <w:rPr>
                <w:b w:val="false"/>
                <w:bCs w:val="false"/>
                <w:color w:val="000000"/>
                <w:sz w:val="20"/>
                <w:szCs w:val="20"/>
              </w:rPr>
              <w:t xml:space="preserve">MANCO Chair</w:t>
            </w:r>
          </w:p>
        </w:tc>
        <w:tc>
          <w:tcPr>
            <w:tcW w:type="dxa" w:w="2250"/>
            <w:tcMar>
              <w:top w:type="dxa" w:w="80"/>
              <w:left w:type="dxa" w:w="100"/>
              <w:bottom w:type="dxa" w:w="80"/>
              <w:right w:type="dxa" w:w="100"/>
            </w:tcMar>
          </w:tcPr>
          <w:p>
            <w:r>
              <w:rPr>
                <w:b w:val="false"/>
                <w:bCs w:val="false"/>
                <w:color w:val="000000"/>
                <w:sz w:val="20"/>
                <w:szCs w:val="20"/>
              </w:rPr>
              <w:t xml:space="preserve"/>
            </w:r>
          </w:p>
        </w:tc>
        <w:tc>
          <w:tcPr>
            <w:tcW w:type="dxa" w:w="2250"/>
            <w:tcMar>
              <w:top w:type="dxa" w:w="80"/>
              <w:left w:type="dxa" w:w="100"/>
              <w:bottom w:type="dxa" w:w="80"/>
              <w:right w:type="dxa" w:w="100"/>
            </w:tcMar>
          </w:tcPr>
          <w:p>
            <w:r>
              <w:rPr>
                <w:b w:val="false"/>
                <w:bCs w:val="false"/>
                <w:color w:val="000000"/>
                <w:sz w:val="20"/>
                <w:szCs w:val="20"/>
              </w:rPr>
              <w:t xml:space="preserve"/>
            </w:r>
          </w:p>
        </w:tc>
        <w:tc>
          <w:tcPr>
            <w:tcW w:type="dxa" w:w="2250"/>
            <w:tcMar>
              <w:top w:type="dxa" w:w="80"/>
              <w:left w:type="dxa" w:w="100"/>
              <w:bottom w:type="dxa" w:w="80"/>
              <w:right w:type="dxa" w:w="100"/>
            </w:tcMar>
          </w:tcPr>
          <w:p>
            <w:r>
              <w:rPr>
                <w:b w:val="false"/>
                <w:bCs w:val="false"/>
                <w:color w:val="000000"/>
                <w:sz w:val="20"/>
                <w:szCs w:val="20"/>
              </w:rPr>
              <w:t xml:space="preserve"/>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95959"/>
        <w:sz w:val="16"/>
        <w:szCs w:val="16"/>
      </w:rPr>
      <w:t xml:space="preserve">OMS IT &amp; Information Security Risk Management Policy and Procedure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2026-07-22T09:46:09.249Z</dcterms:created>
  <dcterms:modified xsi:type="dcterms:W3CDTF">2026-07-22T09:46:09.249Z</dcterms:modified>
</cp:coreProperties>
</file>

<file path=docProps/custom.xml><?xml version="1.0" encoding="utf-8"?>
<Properties xmlns="http://schemas.openxmlformats.org/officeDocument/2006/custom-properties" xmlns:vt="http://schemas.openxmlformats.org/officeDocument/2006/docPropsVTypes"/>
</file>